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46" w:rsidRPr="00C42346" w:rsidRDefault="00375EFD" w:rsidP="002C2F46">
      <w:pPr>
        <w:rPr>
          <w:rFonts w:eastAsia="Arial Unicode MS" w:cs="Arial"/>
          <w:sz w:val="24"/>
          <w:szCs w:val="24"/>
        </w:rPr>
      </w:pPr>
      <w:bookmarkStart w:id="0" w:name="_GoBack"/>
      <w:bookmarkEnd w:id="0"/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974850" cy="361315"/>
                <wp:effectExtent l="0" t="0" r="25400" b="19685"/>
                <wp:wrapNone/>
                <wp:docPr id="35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C0FCC" id="Retângulo 35" o:spid="_x0000_s1026" style="position:absolute;margin-left:-6.9pt;margin-top:-6.85pt;width:155.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yOKw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4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BB4FE" id="Retângulo 34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l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lYWW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06F8D" id="Retângulo 33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tk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9sy2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2" name="Retâ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8CCF6" id="Retângulo 32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bt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Stu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1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4DCA2" id="Retângulo 31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GtKA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dBr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9BFA" id="Retângulo 30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wk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qpPC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04F79" id="Retângulo 29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6172" id="Retângulo 28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1949F" id="Retângulo 27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9773F" id="Retângulo 26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4A8E5" id="Retângulo 25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oNRFM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C648" id="Retângulo 24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zF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SLbM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A155" id="Retângulo 23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7N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K//s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5B5E1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="00AD5150">
        <w:rPr>
          <w:rFonts w:eastAsia="Arial Unicode MS" w:cs="Arial"/>
          <w:b/>
          <w:sz w:val="24"/>
          <w:szCs w:val="24"/>
        </w:rPr>
        <w:t>MENSAGEM</w:t>
      </w:r>
      <w:r w:rsidR="002C2F46" w:rsidRPr="00C42346">
        <w:rPr>
          <w:rFonts w:eastAsia="Arial Unicode MS" w:cs="Arial"/>
          <w:b/>
          <w:sz w:val="24"/>
          <w:szCs w:val="24"/>
        </w:rPr>
        <w:t>/SJ</w:t>
      </w:r>
      <w:r w:rsidR="00AD5150">
        <w:rPr>
          <w:rFonts w:eastAsia="Arial Unicode MS" w:cs="Arial"/>
          <w:b/>
          <w:sz w:val="24"/>
          <w:szCs w:val="24"/>
        </w:rPr>
        <w:t>C</w:t>
      </w:r>
      <w:r w:rsidR="002C2F46" w:rsidRPr="00C42346">
        <w:rPr>
          <w:rFonts w:eastAsia="Arial Unicode MS" w:cs="Arial"/>
          <w:b/>
          <w:sz w:val="24"/>
          <w:szCs w:val="24"/>
        </w:rPr>
        <w:t xml:space="preserve"> Nº</w:t>
      </w:r>
      <w:r w:rsidR="00D03654">
        <w:rPr>
          <w:rFonts w:eastAsia="Arial Unicode MS" w:cs="Arial"/>
          <w:b/>
          <w:sz w:val="24"/>
          <w:szCs w:val="24"/>
        </w:rPr>
        <w:t xml:space="preserve"> 0</w:t>
      </w:r>
      <w:r w:rsidR="00AD5150">
        <w:rPr>
          <w:rFonts w:eastAsia="Arial Unicode MS" w:cs="Arial"/>
          <w:b/>
          <w:sz w:val="24"/>
          <w:szCs w:val="24"/>
        </w:rPr>
        <w:t>1</w:t>
      </w:r>
      <w:r w:rsidR="00D03654">
        <w:rPr>
          <w:rFonts w:eastAsia="Arial Unicode MS" w:cs="Arial"/>
          <w:b/>
          <w:sz w:val="24"/>
          <w:szCs w:val="24"/>
        </w:rPr>
        <w:t>/201</w:t>
      </w:r>
      <w:r w:rsidR="008173F4">
        <w:rPr>
          <w:rFonts w:eastAsia="Arial Unicode MS" w:cs="Arial"/>
          <w:b/>
          <w:sz w:val="24"/>
          <w:szCs w:val="24"/>
        </w:rPr>
        <w:t>8</w:t>
      </w:r>
      <w:r w:rsidR="002C2F46" w:rsidRPr="00C42346">
        <w:rPr>
          <w:rFonts w:eastAsia="Arial Unicode MS" w:cs="Arial"/>
          <w:sz w:val="24"/>
          <w:szCs w:val="24"/>
        </w:rPr>
        <w:t xml:space="preserve">                                    </w:t>
      </w:r>
      <w:r w:rsidR="00C42346" w:rsidRPr="00C42346">
        <w:rPr>
          <w:rFonts w:eastAsia="Arial Unicode MS" w:cs="Arial"/>
          <w:sz w:val="24"/>
          <w:szCs w:val="24"/>
        </w:rPr>
        <w:t xml:space="preserve">            </w:t>
      </w:r>
      <w:r w:rsidR="00581F58">
        <w:rPr>
          <w:rFonts w:eastAsia="Arial Unicode MS" w:cs="Arial"/>
          <w:sz w:val="24"/>
          <w:szCs w:val="24"/>
        </w:rPr>
        <w:t xml:space="preserve">      </w:t>
      </w:r>
      <w:r w:rsidR="00AD5150">
        <w:rPr>
          <w:rFonts w:eastAsia="Arial Unicode MS" w:cs="Arial"/>
          <w:sz w:val="24"/>
          <w:szCs w:val="24"/>
        </w:rPr>
        <w:t xml:space="preserve">         </w:t>
      </w:r>
      <w:r w:rsidR="00D03654">
        <w:rPr>
          <w:rFonts w:eastAsia="Arial Unicode MS" w:cs="Arial"/>
          <w:sz w:val="24"/>
          <w:szCs w:val="24"/>
        </w:rPr>
        <w:t xml:space="preserve">Em </w:t>
      </w:r>
      <w:r w:rsidR="008173F4">
        <w:rPr>
          <w:rFonts w:eastAsia="Arial Unicode MS" w:cs="Arial"/>
          <w:sz w:val="24"/>
          <w:szCs w:val="24"/>
        </w:rPr>
        <w:t>18</w:t>
      </w:r>
      <w:r w:rsidR="00D03654">
        <w:rPr>
          <w:rFonts w:eastAsia="Arial Unicode MS" w:cs="Arial"/>
          <w:sz w:val="24"/>
          <w:szCs w:val="24"/>
        </w:rPr>
        <w:t xml:space="preserve"> de </w:t>
      </w:r>
      <w:r w:rsidR="008173F4">
        <w:rPr>
          <w:rFonts w:eastAsia="Arial Unicode MS" w:cs="Arial"/>
          <w:sz w:val="24"/>
          <w:szCs w:val="24"/>
        </w:rPr>
        <w:t>julho</w:t>
      </w:r>
      <w:r w:rsidR="004A7124">
        <w:rPr>
          <w:rFonts w:eastAsia="Arial Unicode MS" w:cs="Arial"/>
          <w:sz w:val="24"/>
          <w:szCs w:val="24"/>
        </w:rPr>
        <w:t xml:space="preserve"> de 2018</w:t>
      </w:r>
    </w:p>
    <w:p w:rsidR="009D38A1" w:rsidRDefault="009D38A1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</w:p>
    <w:p w:rsidR="002C2F46" w:rsidRPr="00C42346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C42346">
        <w:rPr>
          <w:rFonts w:cs="Arial"/>
          <w:sz w:val="24"/>
          <w:szCs w:val="24"/>
        </w:rPr>
        <w:t>Ao</w:t>
      </w:r>
    </w:p>
    <w:p w:rsidR="002C2F46" w:rsidRPr="00C42346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C42346">
        <w:rPr>
          <w:rFonts w:cs="Arial"/>
          <w:sz w:val="24"/>
          <w:szCs w:val="24"/>
        </w:rPr>
        <w:t>Excelentíssimo Senhor</w:t>
      </w:r>
    </w:p>
    <w:p w:rsidR="002C2F46" w:rsidRPr="00C42346" w:rsidRDefault="002C2F46" w:rsidP="002C2F46">
      <w:pPr>
        <w:spacing w:line="240" w:lineRule="auto"/>
        <w:contextualSpacing/>
        <w:jc w:val="both"/>
        <w:rPr>
          <w:rFonts w:cs="Arial"/>
          <w:b/>
          <w:sz w:val="24"/>
          <w:szCs w:val="24"/>
        </w:rPr>
      </w:pPr>
      <w:r w:rsidRPr="00C42346">
        <w:rPr>
          <w:rFonts w:cs="Arial"/>
          <w:b/>
          <w:sz w:val="24"/>
          <w:szCs w:val="24"/>
        </w:rPr>
        <w:t>JÉFERSON YASHUDA FARMACÊUTICO</w:t>
      </w:r>
    </w:p>
    <w:p w:rsidR="002C2F46" w:rsidRPr="00B946A7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C42346">
        <w:rPr>
          <w:rFonts w:cs="Arial"/>
          <w:sz w:val="24"/>
          <w:szCs w:val="24"/>
        </w:rPr>
        <w:t>Presidente</w:t>
      </w:r>
      <w:r w:rsidRPr="00B946A7">
        <w:rPr>
          <w:rFonts w:cs="Arial"/>
          <w:sz w:val="24"/>
          <w:szCs w:val="24"/>
        </w:rPr>
        <w:t xml:space="preserve"> da Câmara Municipal</w:t>
      </w:r>
    </w:p>
    <w:p w:rsidR="002C2F46" w:rsidRPr="00B946A7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sz w:val="24"/>
          <w:szCs w:val="24"/>
        </w:rPr>
        <w:t>Rua São Bento, 887 – Centro</w:t>
      </w:r>
    </w:p>
    <w:p w:rsidR="002C2F46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b/>
          <w:sz w:val="24"/>
          <w:szCs w:val="24"/>
          <w:u w:val="single"/>
        </w:rPr>
        <w:t>14801-300 - ARARAQUARA/SP</w:t>
      </w:r>
    </w:p>
    <w:p w:rsidR="00D81F1B" w:rsidRPr="00A136EC" w:rsidRDefault="00D81F1B" w:rsidP="002C2F46">
      <w:pPr>
        <w:spacing w:before="120" w:after="120" w:line="360" w:lineRule="auto"/>
        <w:jc w:val="both"/>
        <w:rPr>
          <w:rFonts w:cs="Calibri"/>
          <w:sz w:val="24"/>
          <w:szCs w:val="24"/>
        </w:rPr>
      </w:pPr>
    </w:p>
    <w:p w:rsidR="00D81F1B" w:rsidRPr="00A136EC" w:rsidRDefault="00D81F1B" w:rsidP="002C2F46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>Senhor Presidente:</w:t>
      </w:r>
    </w:p>
    <w:p w:rsidR="00AD5150" w:rsidRPr="00AD5150" w:rsidRDefault="007E5B88" w:rsidP="00AD5150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Pela presente </w:t>
      </w:r>
      <w:r w:rsidRPr="007E5B88">
        <w:rPr>
          <w:rFonts w:cs="Arial"/>
          <w:b/>
          <w:sz w:val="24"/>
          <w:szCs w:val="24"/>
        </w:rPr>
        <w:t>mensagem</w:t>
      </w:r>
      <w:r>
        <w:rPr>
          <w:rFonts w:cs="Arial"/>
          <w:sz w:val="24"/>
          <w:szCs w:val="24"/>
        </w:rPr>
        <w:t>, c</w:t>
      </w:r>
      <w:r w:rsidR="00AD5150" w:rsidRPr="00AD5150">
        <w:rPr>
          <w:rFonts w:cs="Arial"/>
          <w:sz w:val="24"/>
          <w:szCs w:val="24"/>
        </w:rPr>
        <w:t xml:space="preserve">omunico a Vossa Excelência que, nos termos do §1º do Art. 81 da lei Orgânica do Município, decidi </w:t>
      </w:r>
      <w:r w:rsidR="00AD5150" w:rsidRPr="007E5B88">
        <w:rPr>
          <w:rFonts w:cs="Arial"/>
          <w:b/>
          <w:sz w:val="24"/>
          <w:szCs w:val="24"/>
        </w:rPr>
        <w:t>vetar parcialmente</w:t>
      </w:r>
      <w:r w:rsidR="00AD5150" w:rsidRPr="00AD5150">
        <w:rPr>
          <w:rFonts w:cs="Arial"/>
          <w:sz w:val="24"/>
          <w:szCs w:val="24"/>
        </w:rPr>
        <w:t xml:space="preserve">, por contrariedade ao interesse público, o Projeto de Lei </w:t>
      </w:r>
      <w:r w:rsidR="00AD5150">
        <w:rPr>
          <w:rFonts w:cs="Arial"/>
          <w:sz w:val="24"/>
          <w:szCs w:val="24"/>
        </w:rPr>
        <w:t xml:space="preserve">nº </w:t>
      </w:r>
      <w:r w:rsidR="008173F4">
        <w:rPr>
          <w:rFonts w:cs="Arial"/>
          <w:sz w:val="24"/>
          <w:szCs w:val="24"/>
        </w:rPr>
        <w:t>114</w:t>
      </w:r>
      <w:r w:rsidR="00AD5150">
        <w:rPr>
          <w:rFonts w:cs="Arial"/>
          <w:sz w:val="24"/>
          <w:szCs w:val="24"/>
        </w:rPr>
        <w:t>/201</w:t>
      </w:r>
      <w:r w:rsidR="008173F4">
        <w:rPr>
          <w:rFonts w:cs="Arial"/>
          <w:sz w:val="24"/>
          <w:szCs w:val="24"/>
        </w:rPr>
        <w:t>8</w:t>
      </w:r>
      <w:r w:rsidR="00AD5150">
        <w:rPr>
          <w:rFonts w:cs="Arial"/>
          <w:sz w:val="24"/>
          <w:szCs w:val="24"/>
        </w:rPr>
        <w:t xml:space="preserve"> </w:t>
      </w:r>
      <w:r w:rsidR="00AD5150" w:rsidRPr="00AD5150">
        <w:rPr>
          <w:rFonts w:cs="Arial"/>
          <w:sz w:val="24"/>
          <w:szCs w:val="24"/>
        </w:rPr>
        <w:t>(</w:t>
      </w:r>
      <w:r w:rsidR="00AD5150">
        <w:rPr>
          <w:rFonts w:cs="Arial"/>
          <w:sz w:val="24"/>
          <w:szCs w:val="24"/>
        </w:rPr>
        <w:t xml:space="preserve">Autógrafo nº </w:t>
      </w:r>
      <w:r w:rsidR="008173F4">
        <w:rPr>
          <w:rFonts w:cs="Arial"/>
          <w:sz w:val="24"/>
          <w:szCs w:val="24"/>
        </w:rPr>
        <w:t>161</w:t>
      </w:r>
      <w:r w:rsidR="00AD5150">
        <w:rPr>
          <w:rFonts w:cs="Arial"/>
          <w:sz w:val="24"/>
          <w:szCs w:val="24"/>
        </w:rPr>
        <w:t>/201</w:t>
      </w:r>
      <w:r w:rsidR="008173F4">
        <w:rPr>
          <w:rFonts w:cs="Arial"/>
          <w:sz w:val="24"/>
          <w:szCs w:val="24"/>
        </w:rPr>
        <w:t>8</w:t>
      </w:r>
      <w:r w:rsidR="00AD5150" w:rsidRPr="00AD5150">
        <w:rPr>
          <w:rFonts w:cs="Arial"/>
          <w:sz w:val="24"/>
          <w:szCs w:val="24"/>
        </w:rPr>
        <w:t>), que “</w:t>
      </w:r>
      <w:r w:rsidR="008173F4" w:rsidRPr="008173F4">
        <w:rPr>
          <w:rFonts w:cs="Arial"/>
          <w:sz w:val="24"/>
          <w:szCs w:val="24"/>
        </w:rPr>
        <w:t>Dispõe sobre as Diretrizes Orçamentárias para a elaboração da Lei Orçamentária do exercício de 2019 e dá outras providências</w:t>
      </w:r>
      <w:r w:rsidR="00AD5150">
        <w:rPr>
          <w:rFonts w:cs="Arial"/>
          <w:sz w:val="24"/>
          <w:szCs w:val="24"/>
        </w:rPr>
        <w:t>”</w:t>
      </w:r>
      <w:r w:rsidR="00AD5150" w:rsidRPr="00AD5150">
        <w:rPr>
          <w:rFonts w:cs="Arial"/>
          <w:sz w:val="24"/>
          <w:szCs w:val="24"/>
        </w:rPr>
        <w:t>.</w:t>
      </w:r>
    </w:p>
    <w:p w:rsidR="007E5B88" w:rsidRDefault="008173F4" w:rsidP="00AD5150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Nesse sentido, venho, pelo presente, expor os dispositivos vetados e as justificativas para tanto:</w:t>
      </w:r>
    </w:p>
    <w:p w:rsidR="008173F4" w:rsidRPr="008173F4" w:rsidRDefault="008173F4" w:rsidP="005A7C7C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  <w:b/>
          <w:sz w:val="24"/>
          <w:szCs w:val="24"/>
        </w:rPr>
      </w:pPr>
      <w:r w:rsidRPr="008173F4">
        <w:rPr>
          <w:rFonts w:cs="Arial"/>
          <w:b/>
          <w:sz w:val="24"/>
          <w:szCs w:val="24"/>
        </w:rPr>
        <w:t>EMENDA Nº 06 AO ANEXO VI A – DEMONSTRATIVO DE PROGRAMAS E AÇÕES POR ÓRGÃO E UNIDADE – FÍSICO E FINANCEIRO</w:t>
      </w:r>
    </w:p>
    <w:p w:rsidR="008173F4" w:rsidRDefault="007E5B88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Razões do veto</w:t>
      </w:r>
      <w:r w:rsidR="008173F4">
        <w:rPr>
          <w:rFonts w:cs="Arial"/>
          <w:b/>
          <w:sz w:val="24"/>
          <w:szCs w:val="24"/>
        </w:rPr>
        <w:t xml:space="preserve">: </w:t>
      </w:r>
      <w:r w:rsidR="008173F4">
        <w:rPr>
          <w:rFonts w:cs="Arial"/>
          <w:sz w:val="24"/>
          <w:szCs w:val="24"/>
        </w:rPr>
        <w:t>A emenda apresenta classificação equivocada, uma vez que a s</w:t>
      </w:r>
      <w:r w:rsidR="008173F4" w:rsidRPr="008173F4">
        <w:rPr>
          <w:rFonts w:cs="Arial"/>
          <w:sz w:val="24"/>
          <w:szCs w:val="24"/>
        </w:rPr>
        <w:t>olicitação não se insere no Programa de Proteção Social Especial. Proteção Social Especial organiza a oferta de serviços, programas e projetos de acordo com a tipificação socioassistencial da política pública de assistência social.</w:t>
      </w:r>
    </w:p>
    <w:p w:rsid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 w:rsidRPr="008173F4">
        <w:rPr>
          <w:rFonts w:cs="Arial"/>
          <w:sz w:val="24"/>
          <w:szCs w:val="24"/>
        </w:rPr>
        <w:t>O “Dia do Brincar”, foi instituído através da Lei Municipal nº 6.795, de 02 de junho de 2008. Através do parágrafo único, artigo 3º, caberá a Prefeitura incentivar junto a instituições públicas ou privadas, para cobrir eventuais despesas.</w:t>
      </w:r>
    </w:p>
    <w:p w:rsid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 w:rsidRPr="008173F4">
        <w:rPr>
          <w:rFonts w:cs="Arial"/>
          <w:sz w:val="24"/>
          <w:szCs w:val="24"/>
        </w:rPr>
        <w:t>O incentivo proposto poderá ser através de ajudas na montagem e execução das atividades e não necessariamente com liberação de recursos financeiros.</w:t>
      </w:r>
    </w:p>
    <w:p w:rsidR="008173F4" w:rsidRPr="005A7C7C" w:rsidRDefault="005A7C7C" w:rsidP="005A7C7C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  <w:b/>
          <w:sz w:val="24"/>
          <w:szCs w:val="24"/>
        </w:rPr>
      </w:pPr>
      <w:r w:rsidRPr="005A7C7C">
        <w:rPr>
          <w:rFonts w:cs="Arial"/>
          <w:b/>
          <w:sz w:val="24"/>
          <w:szCs w:val="24"/>
        </w:rPr>
        <w:t>EMENDA Nº 08 AO ANEXO VI A – DEMONSTRATIVO DE PROGRAMAS E AÇÕES POR ÓRGÃO E UNIDADE – FÍSICO E FINANCEIRO</w:t>
      </w:r>
    </w:p>
    <w:p w:rsid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Razões do veto: </w:t>
      </w:r>
      <w:r>
        <w:rPr>
          <w:rFonts w:cs="Arial"/>
          <w:sz w:val="24"/>
          <w:szCs w:val="24"/>
        </w:rPr>
        <w:t>A emenda apresenta classificação equivocada, pois a s</w:t>
      </w:r>
      <w:r w:rsidRPr="008173F4">
        <w:rPr>
          <w:rFonts w:cs="Arial"/>
          <w:sz w:val="24"/>
          <w:szCs w:val="24"/>
        </w:rPr>
        <w:t>olicitação não se insere no Programa 067 – Expansão, Melhorias e Manutenção em Edificações Públicas e sim no Programa 070 – Serviços Funerários – Ação 2017 – Manutenção das Atividades.</w:t>
      </w:r>
    </w:p>
    <w:p w:rsid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 w:rsidRPr="008173F4">
        <w:rPr>
          <w:rFonts w:cs="Arial"/>
          <w:sz w:val="24"/>
          <w:szCs w:val="24"/>
        </w:rPr>
        <w:t>Conforme entendimento da Secretaria de Obras e Serviços Públicos, para a execução dos serviços pleiteados, haveria a necessidade de elevar a altura do muro existente, pois na altura atual a instalação da concertina, poderia trazer algum risco de segurança. Informaram ainda, que a estrutura do atual muro, não comportaria a elevação da altura do mesmo.</w:t>
      </w:r>
    </w:p>
    <w:p w:rsidR="00AD5150" w:rsidRDefault="00B17A55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 conteúdo de tal dispositivo já se encontrava presente no </w:t>
      </w:r>
      <w:r w:rsidR="007E5B88">
        <w:rPr>
          <w:rFonts w:cs="Arial"/>
          <w:sz w:val="24"/>
          <w:szCs w:val="24"/>
        </w:rPr>
        <w:t>antigo</w:t>
      </w:r>
      <w:r>
        <w:rPr>
          <w:rFonts w:cs="Arial"/>
          <w:sz w:val="24"/>
          <w:szCs w:val="24"/>
        </w:rPr>
        <w:t xml:space="preserve"> §2º do </w:t>
      </w:r>
      <w:r w:rsidRPr="00B17A55">
        <w:rPr>
          <w:rFonts w:cs="Arial"/>
          <w:sz w:val="24"/>
          <w:szCs w:val="24"/>
        </w:rPr>
        <w:t>Art. 135 da Lei Complementar nº 17, de 01 de dezembro de 1997</w:t>
      </w:r>
      <w:r>
        <w:rPr>
          <w:rFonts w:cs="Arial"/>
          <w:sz w:val="24"/>
          <w:szCs w:val="24"/>
        </w:rPr>
        <w:t>, e sua razão de existir</w:t>
      </w:r>
      <w:r w:rsidR="00720CA3">
        <w:rPr>
          <w:rFonts w:cs="Arial"/>
          <w:sz w:val="24"/>
          <w:szCs w:val="24"/>
        </w:rPr>
        <w:t>, até então,</w:t>
      </w:r>
      <w:r>
        <w:rPr>
          <w:rFonts w:cs="Arial"/>
          <w:sz w:val="24"/>
          <w:szCs w:val="24"/>
        </w:rPr>
        <w:t xml:space="preserve"> justificava-se pelo fato de que devido à defasagem da planta genérica de valores era necessário considerar, para o lançamento do Imposto sobre Transmissão de Bens Imóveis – ITBI, um valor superior ao utilizado para efeito de lançamento do IPTU</w:t>
      </w:r>
      <w:r w:rsidR="00720CA3">
        <w:rPr>
          <w:rFonts w:cs="Arial"/>
          <w:sz w:val="24"/>
          <w:szCs w:val="24"/>
        </w:rPr>
        <w:t>, de modo a se evitar a renúncia de receita e o lançamento do tributo a menor</w:t>
      </w:r>
      <w:r>
        <w:rPr>
          <w:rFonts w:cs="Arial"/>
          <w:sz w:val="24"/>
          <w:szCs w:val="24"/>
        </w:rPr>
        <w:t>.</w:t>
      </w:r>
    </w:p>
    <w:p w:rsidR="008173F4" w:rsidRDefault="005A7C7C" w:rsidP="005A7C7C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  <w:b/>
          <w:sz w:val="24"/>
          <w:szCs w:val="24"/>
        </w:rPr>
      </w:pPr>
      <w:r w:rsidRPr="005A7C7C">
        <w:rPr>
          <w:rFonts w:cs="Arial"/>
          <w:b/>
          <w:sz w:val="24"/>
          <w:szCs w:val="24"/>
        </w:rPr>
        <w:t>EMENDA Nº 09 AO ANEXO VI A – DEMONSTRATIVO DE PROGRAMAS E AÇÕES POR ÓRGÃO E UNIDADE – FÍSICO E FINANCEIRO</w:t>
      </w:r>
    </w:p>
    <w:p w:rsid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Razões de veto: </w:t>
      </w:r>
      <w:r>
        <w:rPr>
          <w:rFonts w:cs="Arial"/>
          <w:sz w:val="24"/>
          <w:szCs w:val="24"/>
        </w:rPr>
        <w:t>A emenda apresenta classificação equivocada, pois a</w:t>
      </w:r>
      <w:r w:rsidRPr="008173F4">
        <w:t xml:space="preserve"> </w:t>
      </w:r>
      <w:r w:rsidRPr="008173F4">
        <w:rPr>
          <w:sz w:val="24"/>
          <w:szCs w:val="24"/>
        </w:rPr>
        <w:t>so</w:t>
      </w:r>
      <w:r w:rsidRPr="008173F4">
        <w:rPr>
          <w:rFonts w:cs="Arial"/>
          <w:sz w:val="24"/>
          <w:szCs w:val="24"/>
        </w:rPr>
        <w:t>licitação não se insere no Programa 067 – Expansão, Melhorias e Manutenção em Edificações Públicas e sim no Programa 041 – Programa de Inclusão Social e Cidadania e na Ação – 1046 – Reforma da Vila Dignidade.</w:t>
      </w:r>
    </w:p>
    <w:p w:rsidR="008173F4" w:rsidRPr="008173F4" w:rsidRDefault="005A7C7C" w:rsidP="005A7C7C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  <w:b/>
          <w:sz w:val="24"/>
          <w:szCs w:val="24"/>
        </w:rPr>
      </w:pPr>
      <w:r w:rsidRPr="005A7C7C">
        <w:rPr>
          <w:rFonts w:cs="Arial"/>
          <w:b/>
          <w:sz w:val="24"/>
          <w:szCs w:val="24"/>
        </w:rPr>
        <w:t>EMENDA Nº 09 AO ANEXO VI A – DEMONSTRATIVO DE PROGRAMAS E AÇÕES POR ÓRGÃO E UNIDADE – FÍSICO E FINANCEIRO</w:t>
      </w:r>
    </w:p>
    <w:p w:rsidR="008173F4" w:rsidRP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Razões de veto: </w:t>
      </w:r>
      <w:r>
        <w:rPr>
          <w:rFonts w:cs="Arial"/>
          <w:sz w:val="24"/>
          <w:szCs w:val="24"/>
        </w:rPr>
        <w:t xml:space="preserve">A emenda apresenta classificação equivocada, </w:t>
      </w:r>
      <w:r w:rsidRPr="008173F4">
        <w:rPr>
          <w:rFonts w:cs="Arial"/>
          <w:sz w:val="24"/>
          <w:szCs w:val="24"/>
        </w:rPr>
        <w:t>pois, a solicitação não se insere no Programa 034 – Estrutura Funcional de Esporte e Lazer e na Ação 1025 – Construção, Reforma e Ampliação de Áreas de Lazer e sim em programas e ações junto a Secretaria Municipal de Saúde.</w:t>
      </w:r>
    </w:p>
    <w:p w:rsid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 w:rsidRPr="008173F4">
        <w:rPr>
          <w:rFonts w:cs="Arial"/>
          <w:sz w:val="24"/>
          <w:szCs w:val="24"/>
        </w:rPr>
        <w:t xml:space="preserve">O Programa Academia de Saúde é uma estratégia de promoção da saúde e produção do cuidado para os municípios, cujo objetivo é promover praticas corporais e </w:t>
      </w:r>
      <w:r w:rsidRPr="008173F4">
        <w:rPr>
          <w:rFonts w:cs="Arial"/>
          <w:sz w:val="24"/>
          <w:szCs w:val="24"/>
        </w:rPr>
        <w:lastRenderedPageBreak/>
        <w:t>atividade física, promoção da alimentação saudável, educação em saúde, entre outros, além de contribuir para a produção do cuidado e de modos de vida saudáveis e sustentáveis  da população.  Para tanto, o Programa promove a implantação de polos do Academia da Saúde, que são espaços públicos dotados de infraestrutura, equipamentos e profissionais qualificados.</w:t>
      </w:r>
    </w:p>
    <w:p w:rsidR="008173F4" w:rsidRDefault="005A7C7C" w:rsidP="005A7C7C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  <w:b/>
          <w:sz w:val="24"/>
          <w:szCs w:val="24"/>
        </w:rPr>
      </w:pPr>
      <w:r w:rsidRPr="005A7C7C">
        <w:rPr>
          <w:rFonts w:cs="Arial"/>
          <w:b/>
          <w:sz w:val="24"/>
          <w:szCs w:val="24"/>
        </w:rPr>
        <w:t>EMENDA Nº 14 AO ANEXO VI A – DEMONSTRATIVO DE PROGRAMAS E AÇÕES POR ÓRGÃO E UNIDADE – FÍSICO E FINANCEIRO</w:t>
      </w:r>
    </w:p>
    <w:p w:rsidR="008173F4" w:rsidRPr="005A7C7C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Razões de veto: </w:t>
      </w:r>
      <w:r>
        <w:rPr>
          <w:rFonts w:cs="Arial"/>
          <w:sz w:val="24"/>
          <w:szCs w:val="24"/>
        </w:rPr>
        <w:t xml:space="preserve">A emenda apresenta classificação errada, pois </w:t>
      </w:r>
      <w:r w:rsidRPr="008173F4">
        <w:rPr>
          <w:rFonts w:cs="Arial"/>
          <w:sz w:val="24"/>
          <w:szCs w:val="24"/>
        </w:rPr>
        <w:t>a solicitação não se insere na Ação 2164 – Assentamento de Guias, Sarjetas e Pavimentação Asfáltica e sim na Ação 2166 – Construção de Passeio P</w:t>
      </w:r>
      <w:r w:rsidRPr="005A7C7C">
        <w:rPr>
          <w:rFonts w:cs="Arial"/>
          <w:sz w:val="24"/>
          <w:szCs w:val="24"/>
        </w:rPr>
        <w:t>úblico.</w:t>
      </w:r>
    </w:p>
    <w:p w:rsidR="008173F4" w:rsidRPr="005A7C7C" w:rsidRDefault="005A7C7C" w:rsidP="005A7C7C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  <w:b/>
          <w:sz w:val="24"/>
          <w:szCs w:val="24"/>
        </w:rPr>
      </w:pPr>
      <w:r w:rsidRPr="005A7C7C">
        <w:rPr>
          <w:rFonts w:cs="Arial"/>
          <w:b/>
          <w:sz w:val="24"/>
          <w:szCs w:val="24"/>
        </w:rPr>
        <w:t>EMENDA Nº 15 AO ANEXO VI A – DEMONSTRATIVO DE PROGRAMAS E AÇÕES POR ÓRGÃO E UNIDADE – FÍSICO E FINANCEIRO</w:t>
      </w:r>
    </w:p>
    <w:p w:rsidR="008173F4" w:rsidRPr="005A7C7C" w:rsidRDefault="008173F4" w:rsidP="008173F4">
      <w:pPr>
        <w:spacing w:before="120" w:after="120" w:line="360" w:lineRule="auto"/>
        <w:ind w:left="720"/>
        <w:jc w:val="both"/>
        <w:rPr>
          <w:rFonts w:cs="Calibri"/>
          <w:sz w:val="24"/>
          <w:szCs w:val="24"/>
        </w:rPr>
      </w:pPr>
      <w:r w:rsidRPr="005A7C7C">
        <w:rPr>
          <w:rFonts w:cs="Arial"/>
          <w:b/>
          <w:sz w:val="24"/>
          <w:szCs w:val="24"/>
        </w:rPr>
        <w:t xml:space="preserve">Razões de veto: </w:t>
      </w:r>
      <w:r w:rsidRPr="005A7C7C">
        <w:rPr>
          <w:rFonts w:cs="Arial"/>
          <w:sz w:val="24"/>
          <w:szCs w:val="24"/>
        </w:rPr>
        <w:t xml:space="preserve">A emenda apresenta classificação errada, pois a solicitação </w:t>
      </w:r>
      <w:r w:rsidRPr="005A7C7C">
        <w:rPr>
          <w:rFonts w:cs="Calibri"/>
          <w:sz w:val="24"/>
          <w:szCs w:val="24"/>
        </w:rPr>
        <w:t>não se insere no Programa 067 – Expansão, Melhorias e Manutenção em Edifícios Públicos e Ação 1025 – Construção, Reforma e Ampliação de Próprios Municipais e sim no Programa 083 – Coordenadoria de Proteção Animal e Ação 1040 – Reformas e Adequação de Estrutura Física.</w:t>
      </w:r>
    </w:p>
    <w:p w:rsidR="008173F4" w:rsidRPr="005A7C7C" w:rsidRDefault="005A7C7C" w:rsidP="005A7C7C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  <w:b/>
          <w:sz w:val="24"/>
          <w:szCs w:val="24"/>
        </w:rPr>
      </w:pPr>
      <w:r w:rsidRPr="005A7C7C">
        <w:rPr>
          <w:rFonts w:cs="Arial"/>
          <w:b/>
          <w:sz w:val="24"/>
          <w:szCs w:val="24"/>
        </w:rPr>
        <w:t>EMENDA Nº 16 AO ANEXO VI A – DEMONSTRATIVO DE PROGRAMAS E AÇÕES POR ÓRGÃO E UNIDADE – FÍSICO E FINANCEIRO</w:t>
      </w:r>
    </w:p>
    <w:p w:rsidR="008173F4" w:rsidRP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 w:rsidRPr="005A7C7C">
        <w:rPr>
          <w:rFonts w:cs="Arial"/>
          <w:b/>
          <w:sz w:val="24"/>
          <w:szCs w:val="24"/>
        </w:rPr>
        <w:t xml:space="preserve">Razões de veto: </w:t>
      </w:r>
      <w:r w:rsidRPr="005A7C7C">
        <w:rPr>
          <w:rFonts w:cs="Arial"/>
          <w:sz w:val="24"/>
          <w:szCs w:val="24"/>
        </w:rPr>
        <w:t>A emenda apresenta classificação errada, pois a solicitação não se insere no Programa 065 – Construção, M</w:t>
      </w:r>
      <w:r w:rsidRPr="008173F4">
        <w:rPr>
          <w:rFonts w:cs="Arial"/>
          <w:sz w:val="24"/>
          <w:szCs w:val="24"/>
        </w:rPr>
        <w:t xml:space="preserve">anutenção, Ampliação e Conservação do Sistema Viário e Ação 2164 – Assentamento de guias, sarjetas e pavimentação asfáltica, pois </w:t>
      </w:r>
      <w:r w:rsidR="005A7C7C">
        <w:rPr>
          <w:rFonts w:cs="Arial"/>
          <w:sz w:val="24"/>
          <w:szCs w:val="24"/>
        </w:rPr>
        <w:t xml:space="preserve">se </w:t>
      </w:r>
      <w:r w:rsidRPr="008173F4">
        <w:rPr>
          <w:rFonts w:cs="Arial"/>
          <w:sz w:val="24"/>
          <w:szCs w:val="24"/>
        </w:rPr>
        <w:t>trata de construção de edificação pública.</w:t>
      </w:r>
    </w:p>
    <w:p w:rsid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 w:rsidRPr="008173F4">
        <w:rPr>
          <w:rFonts w:cs="Arial"/>
          <w:sz w:val="24"/>
          <w:szCs w:val="24"/>
        </w:rPr>
        <w:t>Deveria ser inserida no Programa 70 – Serviços Funerários.</w:t>
      </w:r>
    </w:p>
    <w:p w:rsidR="008173F4" w:rsidRDefault="005A7C7C" w:rsidP="005A7C7C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  <w:b/>
          <w:sz w:val="24"/>
          <w:szCs w:val="24"/>
        </w:rPr>
      </w:pPr>
      <w:r w:rsidRPr="005A7C7C">
        <w:rPr>
          <w:rFonts w:cs="Arial"/>
          <w:b/>
          <w:sz w:val="24"/>
          <w:szCs w:val="24"/>
        </w:rPr>
        <w:t>EMENDA Nº 18 AO ANEXO VI A – DEMONSTRATIVO DE PROGRAMAS E AÇÕES POR ÓRGÃO E UNIDADE – FÍSICO E FINANCEIRO</w:t>
      </w:r>
    </w:p>
    <w:p w:rsidR="008173F4" w:rsidRP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Razões de veto: </w:t>
      </w:r>
      <w:r w:rsidRPr="008173F4">
        <w:rPr>
          <w:rFonts w:cs="Arial"/>
          <w:sz w:val="24"/>
          <w:szCs w:val="24"/>
        </w:rPr>
        <w:t>O remanejamento da importância solicitada, para criação da emenda, não poderá ser aceita, pois está reduzindo recursos do Programa 00 – Encargos Especiais e na Ação 0010 – Encargos Especiais.</w:t>
      </w:r>
    </w:p>
    <w:p w:rsidR="008173F4" w:rsidRPr="008173F4" w:rsidRDefault="003C2D52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Vale destacar que está</w:t>
      </w:r>
      <w:r w:rsidR="008173F4" w:rsidRPr="008173F4">
        <w:rPr>
          <w:rFonts w:cs="Arial"/>
          <w:sz w:val="24"/>
          <w:szCs w:val="24"/>
        </w:rPr>
        <w:t xml:space="preserve"> incorreta a Ação apresentada para remanejamento: Ação 2171 – Manutenção das Atividades de Apoio às Ações e Serviços Públicos de Saúde – ASPS </w:t>
      </w:r>
    </w:p>
    <w:p w:rsidR="008173F4" w:rsidRP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 w:rsidRPr="008173F4">
        <w:rPr>
          <w:rFonts w:cs="Arial"/>
          <w:sz w:val="24"/>
          <w:szCs w:val="24"/>
        </w:rPr>
        <w:t>Este programa trata-se da função “Encargos Especiais”, pois engloba as despesas em relação as quais não se possa associar um bem ou serviço a ser gerado no processo produtivo corrente, tais como: dívidas, ressarcimentos, indenizações e outras afins.</w:t>
      </w:r>
    </w:p>
    <w:p w:rsidR="008173F4" w:rsidRPr="008173F4" w:rsidRDefault="008173F4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 w:rsidRPr="008173F4">
        <w:rPr>
          <w:rFonts w:cs="Arial"/>
          <w:sz w:val="24"/>
          <w:szCs w:val="24"/>
        </w:rPr>
        <w:t>Informamos que no Programa a ser remanejado, o mesmo possui em sua totalidade destinação para cobrir despesas com parcelamento de dívida, a qual foi acordado  perante a Justiça, a ser paga à Irmandade da Santa Casa de Misericórdia de Araraquara.</w:t>
      </w:r>
    </w:p>
    <w:p w:rsidR="008173F4" w:rsidRDefault="005A7C7C" w:rsidP="008173F4">
      <w:pPr>
        <w:spacing w:before="120" w:after="12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Vale informar, ainda, sobre </w:t>
      </w:r>
      <w:r w:rsidR="008173F4" w:rsidRPr="008173F4">
        <w:rPr>
          <w:rFonts w:cs="Arial"/>
          <w:sz w:val="24"/>
          <w:szCs w:val="24"/>
        </w:rPr>
        <w:t>a existência de previsão na Proposta de Lei de Diretrizes Orçamentários 2019, encaminhada ao Legislativo, no Programa 079 – Saúde mais Perto de Você: Ampliando Acesso e Qualidade na Atenção Primária a Saúde e na Ação 1038 – Expansão, Reformas e Ampliações de Unidades de Saúde, nos bairros Santana, Valle Verde e Águas do Paiol.</w:t>
      </w:r>
    </w:p>
    <w:p w:rsidR="00B17A55" w:rsidRDefault="005A7C7C" w:rsidP="003C2D52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Nos termos da fundamentação acima apresentada, optei por vetar, </w:t>
      </w:r>
      <w:r w:rsidR="00B17A55">
        <w:rPr>
          <w:rFonts w:cs="Arial"/>
          <w:sz w:val="24"/>
          <w:szCs w:val="24"/>
        </w:rPr>
        <w:t xml:space="preserve">por contrariedade ao </w:t>
      </w:r>
      <w:r>
        <w:rPr>
          <w:rFonts w:cs="Arial"/>
          <w:sz w:val="24"/>
          <w:szCs w:val="24"/>
        </w:rPr>
        <w:t xml:space="preserve">interesse público, </w:t>
      </w:r>
      <w:r w:rsidR="003C2D52">
        <w:rPr>
          <w:rFonts w:cs="Arial"/>
          <w:sz w:val="24"/>
          <w:szCs w:val="24"/>
        </w:rPr>
        <w:t xml:space="preserve">por destoarem da melhor técnica da contabilidade atrelada ao orçamento público, </w:t>
      </w:r>
      <w:r>
        <w:rPr>
          <w:rFonts w:cs="Arial"/>
          <w:sz w:val="24"/>
          <w:szCs w:val="24"/>
        </w:rPr>
        <w:t xml:space="preserve">as emendas de nº 06, 08, 09, 13, 14, 15, 16 e 18 ao </w:t>
      </w:r>
      <w:r w:rsidRPr="005A7C7C">
        <w:rPr>
          <w:rFonts w:cs="Arial"/>
          <w:sz w:val="24"/>
          <w:szCs w:val="24"/>
        </w:rPr>
        <w:t>Anexo Vi A – Demonstrativo De Programas E Ações Por Órgão E Unidade – Físico E Financeiro</w:t>
      </w:r>
      <w:r>
        <w:rPr>
          <w:rFonts w:cs="Arial"/>
          <w:sz w:val="24"/>
          <w:szCs w:val="24"/>
        </w:rPr>
        <w:t xml:space="preserve"> do </w:t>
      </w:r>
      <w:r w:rsidRPr="005A7C7C">
        <w:rPr>
          <w:rFonts w:cs="Arial"/>
          <w:sz w:val="24"/>
          <w:szCs w:val="24"/>
        </w:rPr>
        <w:t>Projeto De Lei Nº 114/2018</w:t>
      </w:r>
      <w:r>
        <w:rPr>
          <w:rFonts w:cs="Arial"/>
          <w:sz w:val="24"/>
          <w:szCs w:val="24"/>
        </w:rPr>
        <w:t>.</w:t>
      </w:r>
    </w:p>
    <w:p w:rsidR="00720CA3" w:rsidRPr="00AD5150" w:rsidRDefault="00720CA3" w:rsidP="003C2D52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720CA3">
        <w:rPr>
          <w:rFonts w:cs="Arial"/>
          <w:sz w:val="24"/>
          <w:szCs w:val="24"/>
        </w:rPr>
        <w:t>Essas</w:t>
      </w:r>
      <w:r w:rsidR="00B31AB0">
        <w:rPr>
          <w:rFonts w:cs="Arial"/>
          <w:sz w:val="24"/>
          <w:szCs w:val="24"/>
        </w:rPr>
        <w:t xml:space="preserve"> são</w:t>
      </w:r>
      <w:r w:rsidRPr="00720CA3">
        <w:rPr>
          <w:rFonts w:cs="Arial"/>
          <w:sz w:val="24"/>
          <w:szCs w:val="24"/>
        </w:rPr>
        <w:t>, Senhor Presidente, as razões que me levaram a vetar o</w:t>
      </w:r>
      <w:r w:rsidR="008173F4">
        <w:rPr>
          <w:rFonts w:cs="Arial"/>
          <w:sz w:val="24"/>
          <w:szCs w:val="24"/>
        </w:rPr>
        <w:t>s</w:t>
      </w:r>
      <w:r w:rsidRPr="00720CA3">
        <w:rPr>
          <w:rFonts w:cs="Arial"/>
          <w:sz w:val="24"/>
          <w:szCs w:val="24"/>
        </w:rPr>
        <w:t xml:space="preserve"> dispositivo</w:t>
      </w:r>
      <w:r w:rsidR="008173F4">
        <w:rPr>
          <w:rFonts w:cs="Arial"/>
          <w:sz w:val="24"/>
          <w:szCs w:val="24"/>
        </w:rPr>
        <w:t>s</w:t>
      </w:r>
      <w:r w:rsidRPr="00720CA3">
        <w:rPr>
          <w:rFonts w:cs="Arial"/>
          <w:sz w:val="24"/>
          <w:szCs w:val="24"/>
        </w:rPr>
        <w:t xml:space="preserve"> acima mencionado</w:t>
      </w:r>
      <w:r w:rsidR="008173F4">
        <w:rPr>
          <w:rFonts w:cs="Arial"/>
          <w:sz w:val="24"/>
          <w:szCs w:val="24"/>
        </w:rPr>
        <w:t>s</w:t>
      </w:r>
      <w:r w:rsidRPr="00720CA3">
        <w:rPr>
          <w:rFonts w:cs="Arial"/>
          <w:sz w:val="24"/>
          <w:szCs w:val="24"/>
        </w:rPr>
        <w:t xml:space="preserve"> do projeto em </w:t>
      </w:r>
      <w:r w:rsidR="005A7C7C">
        <w:rPr>
          <w:rFonts w:cs="Arial"/>
          <w:sz w:val="24"/>
          <w:szCs w:val="24"/>
        </w:rPr>
        <w:t>tela</w:t>
      </w:r>
      <w:r w:rsidRPr="00720CA3">
        <w:rPr>
          <w:rFonts w:cs="Arial"/>
          <w:sz w:val="24"/>
          <w:szCs w:val="24"/>
        </w:rPr>
        <w:t>, as quais ora submeto à elevada apreciação dos Senhor</w:t>
      </w:r>
      <w:r>
        <w:rPr>
          <w:rFonts w:cs="Arial"/>
          <w:sz w:val="24"/>
          <w:szCs w:val="24"/>
        </w:rPr>
        <w:t>es Membros da Câmara Municipal</w:t>
      </w:r>
      <w:r w:rsidRPr="00720CA3">
        <w:rPr>
          <w:rFonts w:cs="Arial"/>
          <w:sz w:val="24"/>
          <w:szCs w:val="24"/>
        </w:rPr>
        <w:t>.</w:t>
      </w:r>
    </w:p>
    <w:p w:rsidR="001F133B" w:rsidRPr="00A136EC" w:rsidRDefault="001F133B" w:rsidP="003C2D52">
      <w:pPr>
        <w:pStyle w:val="Recuodecorpodetexto3"/>
        <w:tabs>
          <w:tab w:val="left" w:pos="3402"/>
        </w:tabs>
        <w:spacing w:before="120" w:line="36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A136EC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D81F1B" w:rsidRDefault="00D81F1B" w:rsidP="003C2D52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>Atenciosamente,</w:t>
      </w:r>
    </w:p>
    <w:p w:rsidR="00D81F1B" w:rsidRPr="00A136EC" w:rsidRDefault="00E04D7D" w:rsidP="003C2D5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136EC">
        <w:rPr>
          <w:rFonts w:cs="Calibri"/>
          <w:b/>
          <w:sz w:val="24"/>
          <w:szCs w:val="24"/>
        </w:rPr>
        <w:t>EDINHO SILVA</w:t>
      </w:r>
    </w:p>
    <w:p w:rsidR="00FD2E7B" w:rsidRPr="00A136EC" w:rsidRDefault="002C2F46" w:rsidP="003C2D5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 xml:space="preserve">- </w:t>
      </w:r>
      <w:r w:rsidR="00D81F1B" w:rsidRPr="00A136EC">
        <w:rPr>
          <w:rFonts w:cs="Calibri"/>
          <w:sz w:val="24"/>
          <w:szCs w:val="24"/>
        </w:rPr>
        <w:t>Prefeito Municipal</w:t>
      </w:r>
      <w:r w:rsidRPr="00A136EC">
        <w:rPr>
          <w:rFonts w:cs="Calibri"/>
          <w:sz w:val="24"/>
          <w:szCs w:val="24"/>
        </w:rPr>
        <w:t xml:space="preserve"> -</w:t>
      </w:r>
      <w:r w:rsidR="001B426C">
        <w:rPr>
          <w:rFonts w:cs="Calibri"/>
          <w:sz w:val="24"/>
          <w:szCs w:val="24"/>
        </w:rPr>
        <w:t xml:space="preserve"> </w:t>
      </w:r>
    </w:p>
    <w:sectPr w:rsidR="00FD2E7B" w:rsidRPr="00A136EC" w:rsidSect="003C2D52">
      <w:headerReference w:type="default" r:id="rId8"/>
      <w:pgSz w:w="11906" w:h="16838"/>
      <w:pgMar w:top="141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13" w:rsidRDefault="00347813" w:rsidP="00A565EB">
      <w:pPr>
        <w:spacing w:after="0" w:line="240" w:lineRule="auto"/>
      </w:pPr>
      <w:r>
        <w:separator/>
      </w:r>
    </w:p>
  </w:endnote>
  <w:endnote w:type="continuationSeparator" w:id="0">
    <w:p w:rsidR="00347813" w:rsidRDefault="00347813" w:rsidP="00A5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13" w:rsidRDefault="00347813" w:rsidP="00A565EB">
      <w:pPr>
        <w:spacing w:after="0" w:line="240" w:lineRule="auto"/>
      </w:pPr>
      <w:r>
        <w:separator/>
      </w:r>
    </w:p>
  </w:footnote>
  <w:footnote w:type="continuationSeparator" w:id="0">
    <w:p w:rsidR="00347813" w:rsidRDefault="00347813" w:rsidP="00A5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46" w:rsidRDefault="00375EFD" w:rsidP="002C2F46">
    <w:pPr>
      <w:keepNext/>
      <w:tabs>
        <w:tab w:val="left" w:pos="6237"/>
      </w:tabs>
      <w:spacing w:before="240" w:after="60"/>
      <w:jc w:val="center"/>
      <w:outlineLvl w:val="0"/>
      <w:rPr>
        <w:rFonts w:cs="Arial"/>
        <w:b/>
        <w:bCs/>
        <w:kern w:val="32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17145</wp:posOffset>
          </wp:positionV>
          <wp:extent cx="1116965" cy="702310"/>
          <wp:effectExtent l="0" t="0" r="6985" b="2540"/>
          <wp:wrapSquare wrapText="bothSides"/>
          <wp:docPr id="4" name="Imagem 20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-92075</wp:posOffset>
          </wp:positionV>
          <wp:extent cx="798195" cy="878205"/>
          <wp:effectExtent l="0" t="0" r="1905" b="0"/>
          <wp:wrapSquare wrapText="bothSides"/>
          <wp:docPr id="3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F46">
      <w:rPr>
        <w:rFonts w:cs="Arial"/>
        <w:b/>
        <w:bCs/>
        <w:kern w:val="32"/>
        <w:sz w:val="32"/>
      </w:rPr>
      <w:t>MUNICÍPIO DE ARARAQUARA</w:t>
    </w:r>
  </w:p>
  <w:p w:rsidR="002C2F46" w:rsidRDefault="002C2F46" w:rsidP="002C2F46">
    <w:pPr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 w:rsidR="00AD5150">
      <w:rPr>
        <w:sz w:val="20"/>
        <w:szCs w:val="20"/>
      </w:rPr>
      <w:t>SECRETARIA DE JUSTIÇA E CIDADANIA</w:t>
    </w:r>
    <w:r>
      <w:rPr>
        <w:sz w:val="20"/>
        <w:szCs w:val="20"/>
      </w:rPr>
      <w:t xml:space="preserve"> –</w:t>
    </w:r>
  </w:p>
  <w:p w:rsidR="00ED4EB0" w:rsidRPr="002C2F46" w:rsidRDefault="00ED4EB0" w:rsidP="002C2F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90F"/>
    <w:multiLevelType w:val="hybridMultilevel"/>
    <w:tmpl w:val="CF9416F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2F48B5"/>
    <w:multiLevelType w:val="hybridMultilevel"/>
    <w:tmpl w:val="0C7EBC9E"/>
    <w:lvl w:ilvl="0" w:tplc="DB1C683A">
      <w:start w:val="1"/>
      <w:numFmt w:val="upperRoman"/>
      <w:lvlText w:val="%1-"/>
      <w:lvlJc w:val="left"/>
      <w:pPr>
        <w:ind w:left="1287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8A76DB"/>
    <w:multiLevelType w:val="hybridMultilevel"/>
    <w:tmpl w:val="6C4E8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00E38"/>
    <w:multiLevelType w:val="hybridMultilevel"/>
    <w:tmpl w:val="00A4D8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3"/>
    <w:rsid w:val="0000513C"/>
    <w:rsid w:val="000343FE"/>
    <w:rsid w:val="00040F6C"/>
    <w:rsid w:val="00045882"/>
    <w:rsid w:val="0004756B"/>
    <w:rsid w:val="00073E8D"/>
    <w:rsid w:val="0009150E"/>
    <w:rsid w:val="000B52BC"/>
    <w:rsid w:val="0011552E"/>
    <w:rsid w:val="0013143E"/>
    <w:rsid w:val="00142290"/>
    <w:rsid w:val="001554B9"/>
    <w:rsid w:val="00156B06"/>
    <w:rsid w:val="001718CA"/>
    <w:rsid w:val="00175AAF"/>
    <w:rsid w:val="0018254F"/>
    <w:rsid w:val="00196AB5"/>
    <w:rsid w:val="001A79F2"/>
    <w:rsid w:val="001B426C"/>
    <w:rsid w:val="001C5267"/>
    <w:rsid w:val="001F133B"/>
    <w:rsid w:val="001F5D31"/>
    <w:rsid w:val="002042CD"/>
    <w:rsid w:val="00216340"/>
    <w:rsid w:val="0026595D"/>
    <w:rsid w:val="002873FD"/>
    <w:rsid w:val="002A4DA1"/>
    <w:rsid w:val="002B2AC6"/>
    <w:rsid w:val="002B4EB3"/>
    <w:rsid w:val="002C01E6"/>
    <w:rsid w:val="002C2F46"/>
    <w:rsid w:val="002E34AE"/>
    <w:rsid w:val="002F1003"/>
    <w:rsid w:val="002F3B6A"/>
    <w:rsid w:val="002F4A4F"/>
    <w:rsid w:val="00303410"/>
    <w:rsid w:val="00315406"/>
    <w:rsid w:val="0033135F"/>
    <w:rsid w:val="003405EF"/>
    <w:rsid w:val="00341691"/>
    <w:rsid w:val="00347813"/>
    <w:rsid w:val="003516FF"/>
    <w:rsid w:val="003529E4"/>
    <w:rsid w:val="00364E6C"/>
    <w:rsid w:val="00375EFD"/>
    <w:rsid w:val="00377800"/>
    <w:rsid w:val="0038041C"/>
    <w:rsid w:val="00380627"/>
    <w:rsid w:val="003A12AB"/>
    <w:rsid w:val="003B6903"/>
    <w:rsid w:val="003C0268"/>
    <w:rsid w:val="003C2D52"/>
    <w:rsid w:val="003F0B2D"/>
    <w:rsid w:val="00413927"/>
    <w:rsid w:val="00420318"/>
    <w:rsid w:val="004257BC"/>
    <w:rsid w:val="00425D0B"/>
    <w:rsid w:val="0043063F"/>
    <w:rsid w:val="00453B69"/>
    <w:rsid w:val="004622B9"/>
    <w:rsid w:val="004769D5"/>
    <w:rsid w:val="00481C55"/>
    <w:rsid w:val="004A2A8B"/>
    <w:rsid w:val="004A7124"/>
    <w:rsid w:val="004D2FC1"/>
    <w:rsid w:val="004E2544"/>
    <w:rsid w:val="004E4EFA"/>
    <w:rsid w:val="00503245"/>
    <w:rsid w:val="00515048"/>
    <w:rsid w:val="005166C4"/>
    <w:rsid w:val="00533D21"/>
    <w:rsid w:val="00540157"/>
    <w:rsid w:val="00541368"/>
    <w:rsid w:val="00557741"/>
    <w:rsid w:val="00571485"/>
    <w:rsid w:val="00581F58"/>
    <w:rsid w:val="0058744F"/>
    <w:rsid w:val="005911C0"/>
    <w:rsid w:val="0059155F"/>
    <w:rsid w:val="00593621"/>
    <w:rsid w:val="00594A2F"/>
    <w:rsid w:val="005A6E85"/>
    <w:rsid w:val="005A7C7C"/>
    <w:rsid w:val="005A7E67"/>
    <w:rsid w:val="005B1ACA"/>
    <w:rsid w:val="005B1C8E"/>
    <w:rsid w:val="005C1211"/>
    <w:rsid w:val="005F2DEB"/>
    <w:rsid w:val="005F303C"/>
    <w:rsid w:val="005F3169"/>
    <w:rsid w:val="006052E1"/>
    <w:rsid w:val="00652844"/>
    <w:rsid w:val="006605DC"/>
    <w:rsid w:val="00686D64"/>
    <w:rsid w:val="00690702"/>
    <w:rsid w:val="006B07A6"/>
    <w:rsid w:val="006B2E3A"/>
    <w:rsid w:val="006C4662"/>
    <w:rsid w:val="006D590F"/>
    <w:rsid w:val="006E29C5"/>
    <w:rsid w:val="006F24B7"/>
    <w:rsid w:val="0071063A"/>
    <w:rsid w:val="00720CA3"/>
    <w:rsid w:val="007378B2"/>
    <w:rsid w:val="007440BA"/>
    <w:rsid w:val="007519EC"/>
    <w:rsid w:val="00753709"/>
    <w:rsid w:val="00760F15"/>
    <w:rsid w:val="007666AE"/>
    <w:rsid w:val="00771AEC"/>
    <w:rsid w:val="00781B08"/>
    <w:rsid w:val="00783743"/>
    <w:rsid w:val="007A5D17"/>
    <w:rsid w:val="007C52C5"/>
    <w:rsid w:val="007E0980"/>
    <w:rsid w:val="007E2ABB"/>
    <w:rsid w:val="007E5B88"/>
    <w:rsid w:val="007F7BF6"/>
    <w:rsid w:val="008173F4"/>
    <w:rsid w:val="00850949"/>
    <w:rsid w:val="0088425B"/>
    <w:rsid w:val="008864DD"/>
    <w:rsid w:val="00891639"/>
    <w:rsid w:val="008963AD"/>
    <w:rsid w:val="008B4B37"/>
    <w:rsid w:val="008C7BE8"/>
    <w:rsid w:val="008D7D3C"/>
    <w:rsid w:val="009030DD"/>
    <w:rsid w:val="0093566D"/>
    <w:rsid w:val="00943B4A"/>
    <w:rsid w:val="0095081E"/>
    <w:rsid w:val="00950F00"/>
    <w:rsid w:val="00963DA8"/>
    <w:rsid w:val="00975324"/>
    <w:rsid w:val="009810F1"/>
    <w:rsid w:val="00983E70"/>
    <w:rsid w:val="00995929"/>
    <w:rsid w:val="009A44EC"/>
    <w:rsid w:val="009B0E95"/>
    <w:rsid w:val="009B31DD"/>
    <w:rsid w:val="009C5082"/>
    <w:rsid w:val="009D38A1"/>
    <w:rsid w:val="009D6277"/>
    <w:rsid w:val="009E47D5"/>
    <w:rsid w:val="00A136EC"/>
    <w:rsid w:val="00A33068"/>
    <w:rsid w:val="00A42A05"/>
    <w:rsid w:val="00A43F85"/>
    <w:rsid w:val="00A45998"/>
    <w:rsid w:val="00A50775"/>
    <w:rsid w:val="00A565EB"/>
    <w:rsid w:val="00A6552C"/>
    <w:rsid w:val="00A65C79"/>
    <w:rsid w:val="00A6702F"/>
    <w:rsid w:val="00A80AD3"/>
    <w:rsid w:val="00A93BE5"/>
    <w:rsid w:val="00AC4B3A"/>
    <w:rsid w:val="00AD3611"/>
    <w:rsid w:val="00AD5150"/>
    <w:rsid w:val="00AE1BED"/>
    <w:rsid w:val="00B01617"/>
    <w:rsid w:val="00B019B2"/>
    <w:rsid w:val="00B02C4C"/>
    <w:rsid w:val="00B168A1"/>
    <w:rsid w:val="00B16AB3"/>
    <w:rsid w:val="00B1725B"/>
    <w:rsid w:val="00B17A55"/>
    <w:rsid w:val="00B26C7E"/>
    <w:rsid w:val="00B31AB0"/>
    <w:rsid w:val="00B506EB"/>
    <w:rsid w:val="00B63B0F"/>
    <w:rsid w:val="00B7064A"/>
    <w:rsid w:val="00B7278A"/>
    <w:rsid w:val="00B7461C"/>
    <w:rsid w:val="00B93FD6"/>
    <w:rsid w:val="00B968F5"/>
    <w:rsid w:val="00BA1DDE"/>
    <w:rsid w:val="00BC5F96"/>
    <w:rsid w:val="00BE06FA"/>
    <w:rsid w:val="00BE079D"/>
    <w:rsid w:val="00BE0AEA"/>
    <w:rsid w:val="00BE595B"/>
    <w:rsid w:val="00BE6494"/>
    <w:rsid w:val="00C054DE"/>
    <w:rsid w:val="00C26952"/>
    <w:rsid w:val="00C32FB3"/>
    <w:rsid w:val="00C4120D"/>
    <w:rsid w:val="00C42346"/>
    <w:rsid w:val="00C51376"/>
    <w:rsid w:val="00C60835"/>
    <w:rsid w:val="00C74280"/>
    <w:rsid w:val="00C83750"/>
    <w:rsid w:val="00C86FB2"/>
    <w:rsid w:val="00CB2DA5"/>
    <w:rsid w:val="00CB2ED9"/>
    <w:rsid w:val="00D03654"/>
    <w:rsid w:val="00D11E5F"/>
    <w:rsid w:val="00D2226D"/>
    <w:rsid w:val="00D400A6"/>
    <w:rsid w:val="00D60BED"/>
    <w:rsid w:val="00D618CA"/>
    <w:rsid w:val="00D651EB"/>
    <w:rsid w:val="00D7265C"/>
    <w:rsid w:val="00D81B55"/>
    <w:rsid w:val="00D81F1B"/>
    <w:rsid w:val="00D83F62"/>
    <w:rsid w:val="00DA0C4F"/>
    <w:rsid w:val="00DD46A9"/>
    <w:rsid w:val="00E04D7D"/>
    <w:rsid w:val="00E05020"/>
    <w:rsid w:val="00E309A5"/>
    <w:rsid w:val="00E42690"/>
    <w:rsid w:val="00E52DDF"/>
    <w:rsid w:val="00E53955"/>
    <w:rsid w:val="00E64B21"/>
    <w:rsid w:val="00E7054F"/>
    <w:rsid w:val="00E9366F"/>
    <w:rsid w:val="00EA59C8"/>
    <w:rsid w:val="00EC695A"/>
    <w:rsid w:val="00ED099F"/>
    <w:rsid w:val="00ED4EB0"/>
    <w:rsid w:val="00F02025"/>
    <w:rsid w:val="00F036F9"/>
    <w:rsid w:val="00F51E07"/>
    <w:rsid w:val="00F60A05"/>
    <w:rsid w:val="00F6223D"/>
    <w:rsid w:val="00F831DE"/>
    <w:rsid w:val="00FA0F7A"/>
    <w:rsid w:val="00FA4BB7"/>
    <w:rsid w:val="00FB7ECA"/>
    <w:rsid w:val="00FC2CA7"/>
    <w:rsid w:val="00FC6A25"/>
    <w:rsid w:val="00FD2E7B"/>
    <w:rsid w:val="00FF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116652-6048-4B7D-B818-BCCA41D2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46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D81F1B"/>
    <w:pPr>
      <w:keepNext/>
      <w:spacing w:after="0" w:line="240" w:lineRule="auto"/>
      <w:ind w:left="-1701"/>
      <w:outlineLvl w:val="1"/>
    </w:pPr>
    <w:rPr>
      <w:rFonts w:ascii="Times New Roman" w:hAnsi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32F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2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5EB"/>
  </w:style>
  <w:style w:type="paragraph" w:styleId="Rodap">
    <w:name w:val="footer"/>
    <w:basedOn w:val="Normal"/>
    <w:link w:val="RodapChar"/>
    <w:uiPriority w:val="99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5EB"/>
  </w:style>
  <w:style w:type="paragraph" w:styleId="Textodebalo">
    <w:name w:val="Balloon Text"/>
    <w:basedOn w:val="Normal"/>
    <w:link w:val="TextodebaloChar"/>
    <w:uiPriority w:val="99"/>
    <w:semiHidden/>
    <w:unhideWhenUsed/>
    <w:rsid w:val="00A5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65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60A05"/>
    <w:pPr>
      <w:ind w:left="720"/>
      <w:contextualSpacing/>
    </w:pPr>
  </w:style>
  <w:style w:type="paragraph" w:customStyle="1" w:styleId="artigo">
    <w:name w:val="artigo"/>
    <w:basedOn w:val="Normal"/>
    <w:rsid w:val="00935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link w:val="Ttulo2"/>
    <w:rsid w:val="00D81F1B"/>
    <w:rPr>
      <w:rFonts w:ascii="Times New Roman" w:eastAsia="Times New Roman" w:hAnsi="Times New Roman" w:cs="Times New Roman"/>
      <w:sz w:val="32"/>
      <w:szCs w:val="32"/>
    </w:rPr>
  </w:style>
  <w:style w:type="paragraph" w:styleId="Recuodecorpodetexto3">
    <w:name w:val="Body Text Indent 3"/>
    <w:basedOn w:val="Normal"/>
    <w:link w:val="Recuodecorpodetexto3Char"/>
    <w:unhideWhenUsed/>
    <w:rsid w:val="00D81F1B"/>
    <w:pPr>
      <w:suppressAutoHyphens/>
      <w:spacing w:after="120" w:line="240" w:lineRule="auto"/>
      <w:ind w:left="283"/>
    </w:pPr>
    <w:rPr>
      <w:rFonts w:ascii="Arial" w:hAnsi="Arial"/>
      <w:sz w:val="16"/>
      <w:szCs w:val="16"/>
      <w:lang w:eastAsia="ar-SA"/>
    </w:rPr>
  </w:style>
  <w:style w:type="character" w:customStyle="1" w:styleId="Recuodecorpodetexto3Char">
    <w:name w:val="Recuo de corpo de texto 3 Char"/>
    <w:link w:val="Recuodecorpodetexto3"/>
    <w:rsid w:val="00D81F1B"/>
    <w:rPr>
      <w:rFonts w:ascii="Arial" w:eastAsia="Times New Roman" w:hAnsi="Arial" w:cs="Times New Roman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81F1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D81F1B"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BE595B"/>
    <w:pPr>
      <w:suppressAutoHyphens/>
      <w:spacing w:after="0" w:line="240" w:lineRule="auto"/>
      <w:jc w:val="center"/>
    </w:pPr>
    <w:rPr>
      <w:rFonts w:ascii="Tahoma" w:hAnsi="Tahoma"/>
      <w:b/>
      <w:szCs w:val="20"/>
      <w:u w:val="single"/>
      <w:lang w:eastAsia="ar-SA"/>
    </w:rPr>
  </w:style>
  <w:style w:type="character" w:customStyle="1" w:styleId="TtuloChar">
    <w:name w:val="Título Char"/>
    <w:link w:val="Ttulo"/>
    <w:rsid w:val="00BE595B"/>
    <w:rPr>
      <w:rFonts w:ascii="Tahoma" w:eastAsia="Times New Roman" w:hAnsi="Tahoma" w:cs="Times New Roman"/>
      <w:b/>
      <w:szCs w:val="20"/>
      <w:u w:val="single"/>
      <w:lang w:eastAsia="ar-SA"/>
    </w:rPr>
  </w:style>
  <w:style w:type="paragraph" w:customStyle="1" w:styleId="PargrafodaLista1">
    <w:name w:val="Parágrafo da Lista1"/>
    <w:basedOn w:val="Normal"/>
    <w:rsid w:val="00FD2E7B"/>
    <w:pPr>
      <w:ind w:left="720"/>
      <w:contextualSpacing/>
    </w:pPr>
    <w:rPr>
      <w:lang w:eastAsia="en-US"/>
    </w:rPr>
  </w:style>
  <w:style w:type="character" w:styleId="Forte">
    <w:name w:val="Strong"/>
    <w:qFormat/>
    <w:rsid w:val="00047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F7661-AB56-44BA-B24C-D1EB29BF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</dc:creator>
  <cp:keywords/>
  <cp:lastModifiedBy>Valdemar M. Neto Mendonça</cp:lastModifiedBy>
  <cp:revision>2</cp:revision>
  <cp:lastPrinted>2017-12-08T14:25:00Z</cp:lastPrinted>
  <dcterms:created xsi:type="dcterms:W3CDTF">2018-07-19T14:51:00Z</dcterms:created>
  <dcterms:modified xsi:type="dcterms:W3CDTF">2018-07-19T14:51:00Z</dcterms:modified>
</cp:coreProperties>
</file>