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33DB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3DB6">
        <w:rPr>
          <w:rFonts w:ascii="Tahoma" w:hAnsi="Tahoma" w:cs="Tahoma"/>
          <w:b/>
          <w:sz w:val="32"/>
          <w:szCs w:val="32"/>
          <w:u w:val="single"/>
        </w:rPr>
        <w:t>114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33DB6">
        <w:rPr>
          <w:rFonts w:ascii="Tahoma" w:hAnsi="Tahoma" w:cs="Tahoma"/>
          <w:b/>
          <w:sz w:val="32"/>
          <w:szCs w:val="32"/>
          <w:u w:val="single"/>
        </w:rPr>
        <w:t>125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33DB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33DB6">
        <w:rPr>
          <w:rFonts w:ascii="Calibri" w:hAnsi="Calibri" w:cs="Calibri"/>
          <w:sz w:val="22"/>
          <w:szCs w:val="22"/>
        </w:rPr>
        <w:t>Dispõe sobre a concessão de bolsas de estudo de graduação aos servidores públicos municipais efetivos da rede municipal de ensino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Art. 1º Fica o Poder Executivo autorizado a conceder bolsas de estudos em cursos de graduação em Pedagogia aos servidores públicos municipais efetivos que atuam na rede municipal de ensino.</w:t>
      </w: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Parágrafo único. A concessão será efetuada mediante regulamentação que defina os critérios desta concessão, seus beneficiários, bem como os procedimentos de inscrição, seleção e aprovação para o ingresso, tendo como parâmetros básicos:</w:t>
      </w: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I – possuir formação completa no Ensino Médio;</w:t>
      </w: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II – compatibilidade com as atribuições do cargo do beneficiário;</w:t>
      </w: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III – ter cumprido os três anos de estágio probatório;</w:t>
      </w: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IV – permanência no cargo pelo tempo mínimo necessário à contrapartida dos recursos gastos na formação;</w:t>
      </w: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>V – previsão de ressarcimento ao erário dos valores correspondentes ao benefício recebido, no caso de desistência, reprovação ou afastamento voluntário do servidor.</w:t>
      </w:r>
    </w:p>
    <w:p w:rsid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33DB6" w:rsidRP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 xml:space="preserve">Art. 2º A regulamentação da presente </w:t>
      </w:r>
      <w:r>
        <w:rPr>
          <w:rFonts w:ascii="Calibri" w:hAnsi="Calibri" w:cs="Calibri"/>
          <w:sz w:val="24"/>
          <w:szCs w:val="24"/>
        </w:rPr>
        <w:t>l</w:t>
      </w:r>
      <w:r w:rsidRPr="00D33DB6">
        <w:rPr>
          <w:rFonts w:ascii="Calibri" w:hAnsi="Calibri" w:cs="Calibri"/>
          <w:sz w:val="24"/>
          <w:szCs w:val="24"/>
        </w:rPr>
        <w:t xml:space="preserve">ei levará em conta, além dos critérios de concessão referidos no </w:t>
      </w:r>
      <w:r>
        <w:rPr>
          <w:rFonts w:ascii="Calibri" w:hAnsi="Calibri" w:cs="Calibri"/>
          <w:sz w:val="24"/>
          <w:szCs w:val="24"/>
        </w:rPr>
        <w:t>a</w:t>
      </w:r>
      <w:r w:rsidRPr="00D33DB6">
        <w:rPr>
          <w:rFonts w:ascii="Calibri" w:hAnsi="Calibri" w:cs="Calibri"/>
          <w:sz w:val="24"/>
          <w:szCs w:val="24"/>
        </w:rPr>
        <w:t>rt. 1º, os critérios para fruição, renovação e cancelamento, duração e periodicidade para o recebimento das bolsas</w:t>
      </w:r>
      <w:bookmarkStart w:id="0" w:name="_GoBack"/>
      <w:bookmarkEnd w:id="0"/>
    </w:p>
    <w:p w:rsidR="00D33DB6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33DB6" w:rsidP="00D33D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33DB6">
        <w:rPr>
          <w:rFonts w:ascii="Calibri" w:hAnsi="Calibri" w:cs="Calibri"/>
          <w:sz w:val="24"/>
          <w:szCs w:val="24"/>
        </w:rPr>
        <w:t xml:space="preserve">Art. 3º Esta </w:t>
      </w:r>
      <w:r>
        <w:rPr>
          <w:rFonts w:ascii="Calibri" w:hAnsi="Calibri" w:cs="Calibri"/>
          <w:sz w:val="24"/>
          <w:szCs w:val="24"/>
        </w:rPr>
        <w:t>l</w:t>
      </w:r>
      <w:r w:rsidRPr="00D33DB6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33DB6" w:rsidRDefault="00022312" w:rsidP="00D33DB6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3DB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3D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3DB6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2018-05-08T20:19:00Z</dcterms:modified>
</cp:coreProperties>
</file>