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A7EA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A7EA9">
        <w:rPr>
          <w:rFonts w:ascii="Tahoma" w:hAnsi="Tahoma" w:cs="Tahoma"/>
          <w:b/>
          <w:sz w:val="32"/>
          <w:szCs w:val="32"/>
          <w:u w:val="single"/>
        </w:rPr>
        <w:t>015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A7EA9">
        <w:rPr>
          <w:rFonts w:ascii="Tahoma" w:hAnsi="Tahoma" w:cs="Tahoma"/>
          <w:b/>
          <w:sz w:val="32"/>
          <w:szCs w:val="32"/>
          <w:u w:val="single"/>
        </w:rPr>
        <w:t>011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A7EA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A7EA9">
        <w:rPr>
          <w:rFonts w:ascii="Calibri" w:hAnsi="Calibri" w:cs="Calibri"/>
          <w:sz w:val="22"/>
          <w:szCs w:val="22"/>
        </w:rPr>
        <w:t>Altera o Art. 85 da Lei Municipal nº 6.251, de 19 de abril de 2005,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A7EA9" w:rsidRDefault="007A7EA9" w:rsidP="007A7E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7EA9">
        <w:rPr>
          <w:rFonts w:ascii="Calibri" w:hAnsi="Calibri" w:cs="Calibri"/>
          <w:sz w:val="24"/>
          <w:szCs w:val="24"/>
        </w:rPr>
        <w:t>Art. 1º</w:t>
      </w:r>
      <w:r>
        <w:rPr>
          <w:rFonts w:ascii="Calibri" w:hAnsi="Calibri" w:cs="Calibri"/>
          <w:sz w:val="24"/>
          <w:szCs w:val="24"/>
        </w:rPr>
        <w:t xml:space="preserve"> O a</w:t>
      </w:r>
      <w:r w:rsidRPr="007A7EA9">
        <w:rPr>
          <w:rFonts w:ascii="Calibri" w:hAnsi="Calibri" w:cs="Calibri"/>
          <w:sz w:val="24"/>
          <w:szCs w:val="24"/>
        </w:rPr>
        <w:t>rt. 85 da Lei Municipal nº 6.251, de 19 de abril de 2005, passa a vigorar com a seguinte redação:</w:t>
      </w:r>
    </w:p>
    <w:p w:rsidR="007A7EA9" w:rsidRPr="007A7EA9" w:rsidRDefault="007A7EA9" w:rsidP="007A7E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A7EA9" w:rsidRPr="007A7EA9" w:rsidRDefault="007A7EA9" w:rsidP="007A7E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7A7EA9">
        <w:rPr>
          <w:rFonts w:ascii="Calibri" w:hAnsi="Calibri" w:cs="Calibri"/>
          <w:sz w:val="24"/>
          <w:szCs w:val="24"/>
        </w:rPr>
        <w:t>“Art. 85. O professor coordenador atuará em todas as etapas e modalidades da Educação Básica Municipal, com jornada de 40 (quarenta) horas semanais e receberá gratificação de 20% (vinte po</w:t>
      </w:r>
      <w:r>
        <w:rPr>
          <w:rFonts w:ascii="Calibri" w:hAnsi="Calibri" w:cs="Calibri"/>
          <w:sz w:val="24"/>
          <w:szCs w:val="24"/>
        </w:rPr>
        <w:t>r</w:t>
      </w:r>
      <w:r w:rsidRPr="007A7EA9">
        <w:rPr>
          <w:rFonts w:ascii="Calibri" w:hAnsi="Calibri" w:cs="Calibri"/>
          <w:sz w:val="24"/>
          <w:szCs w:val="24"/>
        </w:rPr>
        <w:t xml:space="preserve"> cento) incidente sobre o valor de seus vencimentos, a título de verba de retribuição pelo desempenho dessa função-atividade, a partir da designação em unidade escolar específica ou em grupos de unidades escolares. (NR)”</w:t>
      </w:r>
    </w:p>
    <w:p w:rsidR="007A7EA9" w:rsidRDefault="007A7EA9" w:rsidP="007A7E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A7EA9" w:rsidP="007A7E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A7EA9">
        <w:rPr>
          <w:rFonts w:ascii="Calibri" w:hAnsi="Calibri" w:cs="Calibri"/>
          <w:sz w:val="24"/>
          <w:szCs w:val="24"/>
        </w:rPr>
        <w:t xml:space="preserve">Art. 2º Esta </w:t>
      </w:r>
      <w:r>
        <w:rPr>
          <w:rFonts w:ascii="Calibri" w:hAnsi="Calibri" w:cs="Calibri"/>
          <w:sz w:val="24"/>
          <w:szCs w:val="24"/>
        </w:rPr>
        <w:t>l</w:t>
      </w:r>
      <w:bookmarkStart w:id="0" w:name="_GoBack"/>
      <w:bookmarkEnd w:id="0"/>
      <w:r w:rsidRPr="007A7EA9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A7EA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7EA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7E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7EA9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89</cp:revision>
  <cp:lastPrinted>2017-04-25T15:43:00Z</cp:lastPrinted>
  <dcterms:created xsi:type="dcterms:W3CDTF">2016-08-16T19:55:00Z</dcterms:created>
  <dcterms:modified xsi:type="dcterms:W3CDTF">2018-01-23T19:20:00Z</dcterms:modified>
</cp:coreProperties>
</file>