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C59E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C59E8">
        <w:rPr>
          <w:rFonts w:ascii="Tahoma" w:hAnsi="Tahoma" w:cs="Tahoma"/>
          <w:b/>
          <w:sz w:val="32"/>
          <w:szCs w:val="32"/>
          <w:u w:val="single"/>
        </w:rPr>
        <w:t>067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59E8">
        <w:rPr>
          <w:rFonts w:ascii="Tahoma" w:hAnsi="Tahoma" w:cs="Tahoma"/>
          <w:b/>
          <w:sz w:val="32"/>
          <w:szCs w:val="32"/>
          <w:u w:val="single"/>
        </w:rPr>
        <w:t>079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5C59E8" w:rsidRDefault="005A56CA" w:rsidP="00D47EAB">
      <w:pPr>
        <w:jc w:val="both"/>
        <w:rPr>
          <w:rFonts w:ascii="Calibri" w:hAnsi="Calibri" w:cs="Calibri"/>
        </w:rPr>
      </w:pPr>
    </w:p>
    <w:p w:rsidR="005A56CA" w:rsidRPr="005C59E8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5C59E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59E8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5C59E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5C59E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59E8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R$ 43.560,00 (Quarenta e três mil, quinhentos e sessenta reais), referente ao Termo de Adesão à campanha “Todos juntos contra o Aedes Aegypti” junto a SUCEN conforme demonstrativo abaixo:</w:t>
      </w: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5C59E8" w:rsidRPr="005C59E8" w:rsidTr="00B26C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C59E8" w:rsidRPr="005C59E8" w:rsidTr="00B26C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C59E8" w:rsidRPr="005C59E8" w:rsidTr="00B26C8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C59E8" w:rsidRPr="005C59E8" w:rsidTr="00B26C8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59E8" w:rsidRPr="005C59E8" w:rsidTr="00B26C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C59E8" w:rsidRPr="005C59E8" w:rsidTr="00B26C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C59E8" w:rsidRPr="005C59E8" w:rsidTr="00B26C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C59E8" w:rsidRPr="005C59E8" w:rsidTr="00B26C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C59E8" w:rsidRPr="005C59E8" w:rsidTr="00B26C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43.560,00</w:t>
            </w:r>
          </w:p>
        </w:tc>
      </w:tr>
      <w:tr w:rsidR="005C59E8" w:rsidRPr="005C59E8" w:rsidTr="00B26C8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C59E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59E8" w:rsidRPr="005C59E8" w:rsidTr="00B26C8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43.560,00</w:t>
            </w:r>
          </w:p>
        </w:tc>
      </w:tr>
      <w:tr w:rsidR="005C59E8" w:rsidRPr="005C59E8" w:rsidTr="00B26C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E8" w:rsidRPr="005C59E8" w:rsidRDefault="005C59E8" w:rsidP="00B26C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59E8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59E8">
        <w:rPr>
          <w:rFonts w:ascii="Calibri" w:hAnsi="Calibri" w:cs="Calibri"/>
          <w:sz w:val="24"/>
          <w:szCs w:val="24"/>
        </w:rPr>
        <w:t xml:space="preserve">Art. 2º O crédito autorizado no artigo anterior será coberto com os recursos de Excesso de Arrecadação apurado no presente exercício, oriundos de recursos vinculados </w:t>
      </w:r>
      <w:r w:rsidRPr="005C59E8">
        <w:rPr>
          <w:rFonts w:ascii="Calibri" w:hAnsi="Calibri" w:cs="Calibri"/>
          <w:sz w:val="24"/>
          <w:szCs w:val="24"/>
        </w:rPr>
        <w:t>à</w:t>
      </w:r>
      <w:r w:rsidRPr="005C59E8">
        <w:rPr>
          <w:rFonts w:ascii="Calibri" w:hAnsi="Calibri" w:cs="Calibri"/>
          <w:sz w:val="24"/>
          <w:szCs w:val="24"/>
        </w:rPr>
        <w:t xml:space="preserve"> saúde, através da resolução SS-9, que tem por objetivo combate ao Aedes Aegypti.</w:t>
      </w: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59E8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59E8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5C59E8" w:rsidRPr="005C59E8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5C59E8" w:rsidP="005C5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59E8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5C59E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C59E8" w:rsidRDefault="005A56CA" w:rsidP="00D47EAB">
      <w:pPr>
        <w:ind w:firstLine="2835"/>
        <w:jc w:val="both"/>
        <w:rPr>
          <w:rFonts w:ascii="Calibri" w:hAnsi="Calibri" w:cs="Calibri"/>
        </w:rPr>
      </w:pPr>
      <w:bookmarkStart w:id="0" w:name="_GoBack"/>
    </w:p>
    <w:p w:rsidR="005A56CA" w:rsidRPr="005C59E8" w:rsidRDefault="005A56CA" w:rsidP="00D47EAB">
      <w:pPr>
        <w:rPr>
          <w:rFonts w:ascii="Calibri" w:hAnsi="Calibri" w:cs="Calibri"/>
        </w:rPr>
      </w:pPr>
    </w:p>
    <w:bookmarkEnd w:id="0"/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59E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59E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C59E8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2017-03-28T14:44:00Z</dcterms:modified>
</cp:coreProperties>
</file>