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06A8D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95BD8">
        <w:rPr>
          <w:rFonts w:ascii="Tahoma" w:hAnsi="Tahoma" w:cs="Tahoma"/>
          <w:b/>
          <w:sz w:val="32"/>
          <w:szCs w:val="32"/>
          <w:u w:val="single"/>
        </w:rPr>
        <w:t>25</w:t>
      </w:r>
      <w:r w:rsidR="00706A8D">
        <w:rPr>
          <w:rFonts w:ascii="Tahoma" w:hAnsi="Tahoma" w:cs="Tahoma"/>
          <w:b/>
          <w:sz w:val="32"/>
          <w:szCs w:val="32"/>
          <w:u w:val="single"/>
        </w:rPr>
        <w:t>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95BD8">
        <w:rPr>
          <w:rFonts w:ascii="Tahoma" w:hAnsi="Tahoma" w:cs="Tahoma"/>
          <w:b/>
          <w:sz w:val="32"/>
          <w:szCs w:val="32"/>
          <w:u w:val="single"/>
        </w:rPr>
        <w:t>261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95BD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95BD8">
        <w:rPr>
          <w:rFonts w:ascii="Calibri" w:hAnsi="Calibri" w:cs="Calibri"/>
          <w:sz w:val="22"/>
          <w:szCs w:val="22"/>
        </w:rPr>
        <w:t>Dispõe sobre as alterações na Lei 8.075/13, que trata do Plano Plurianual 2014-2017, e na Lei 8.753/16, que trata das Diretrizes Orçamentárias do exercício Financeiro de 2017,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Art. 1º Os Anexos I, II e III da Lei nº 8.075, de 22 de novembro de 2013, passam a vigorar com nova redação, conforme Anexos I e Demonstrativo de Programas e Ações por Órgão e Unidade – Físico Financeiro desta lei.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Art. 2º Os Anexos I, V e VI e os Demonstrativos I e III da Lei 8.753, de 19 de julho de 2016, passam a vigorar com nova redação, conforme Anexos I, V e VI e os Demonstrativos I e III desta Lei.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Art. 3º Dá-se nova redação ao art. 9º da lei 8.753 de julho de 2016: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 xml:space="preserve">“Art. 9º A proposta orçamentária, que não conterá dispositivos estranho à previsão da receita e à fixação da despesa, atenderá a um processo de planejamento permanente, à descentralização, à participação comunitária, conterá ainda </w:t>
      </w:r>
      <w:proofErr w:type="gramStart"/>
      <w:r w:rsidRPr="00D95BD8">
        <w:rPr>
          <w:rFonts w:ascii="Calibri" w:hAnsi="Calibri" w:cs="Calibri"/>
          <w:sz w:val="24"/>
          <w:szCs w:val="24"/>
        </w:rPr>
        <w:t>reserva</w:t>
      </w:r>
      <w:proofErr w:type="gramEnd"/>
      <w:r w:rsidRPr="00D95BD8">
        <w:rPr>
          <w:rFonts w:ascii="Calibri" w:hAnsi="Calibri" w:cs="Calibri"/>
          <w:sz w:val="24"/>
          <w:szCs w:val="24"/>
        </w:rPr>
        <w:t xml:space="preserve"> de contingência e compreenderá o orçamento fiscal e da seguridade social referente aos Poderes Executivo e Legislativo Municipal, seus fundos, órgãos, autarquias, inclusive especiais, e fundações instituídas e mantidas  pelo Poder Público Municipal, bem como das empresas públicas e sociedades de economia mista que tenha recebido recursos do Tesouro Municipal.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§ 1º Excluem-se do dispositivo neste artigo: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I – as empresas públicas ou sociedades de economia mista que recebam recursos do Município apenas em virtude de: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a) participação acionária;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b) fornecimento de bens ou prestação de serviços;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 w:rsidRPr="00D95BD8">
        <w:rPr>
          <w:rFonts w:ascii="Calibri" w:hAnsi="Calibri" w:cs="Calibri"/>
          <w:sz w:val="24"/>
          <w:szCs w:val="24"/>
        </w:rPr>
        <w:t>c)pagamento</w:t>
      </w:r>
      <w:proofErr w:type="gramEnd"/>
      <w:r w:rsidRPr="00D95BD8">
        <w:rPr>
          <w:rFonts w:ascii="Calibri" w:hAnsi="Calibri" w:cs="Calibri"/>
          <w:sz w:val="24"/>
          <w:szCs w:val="24"/>
        </w:rPr>
        <w:t xml:space="preserve"> de empréstimos e financiamentos concedidos.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II – as fundações governamentais de direito privado que recebam recursos do Município apenas em virtude de: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a)</w:t>
      </w:r>
      <w:r w:rsidRPr="00D95BD8">
        <w:rPr>
          <w:rFonts w:ascii="Calibri" w:hAnsi="Calibri" w:cs="Calibri"/>
          <w:sz w:val="24"/>
          <w:szCs w:val="24"/>
        </w:rPr>
        <w:tab/>
        <w:t>Investimento;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lastRenderedPageBreak/>
        <w:t>b)</w:t>
      </w:r>
      <w:r w:rsidRPr="00D95BD8">
        <w:rPr>
          <w:rFonts w:ascii="Calibri" w:hAnsi="Calibri" w:cs="Calibri"/>
          <w:sz w:val="24"/>
          <w:szCs w:val="24"/>
        </w:rPr>
        <w:tab/>
        <w:t>Fornecimento de bens ou prestação de serviços;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c)</w:t>
      </w:r>
      <w:r w:rsidRPr="00D95BD8">
        <w:rPr>
          <w:rFonts w:ascii="Calibri" w:hAnsi="Calibri" w:cs="Calibri"/>
          <w:sz w:val="24"/>
          <w:szCs w:val="24"/>
        </w:rPr>
        <w:tab/>
        <w:t>Pagamento de empréstimos e financiamentos concedidos.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D95BD8">
        <w:rPr>
          <w:rFonts w:ascii="Calibri" w:hAnsi="Calibri" w:cs="Calibri"/>
          <w:sz w:val="24"/>
          <w:szCs w:val="24"/>
        </w:rPr>
        <w:t>2º As Fundações governamentais independentes só comparecem, no orçamento do Município, quando: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a)</w:t>
      </w:r>
      <w:r w:rsidRPr="00D95BD8">
        <w:rPr>
          <w:rFonts w:ascii="Calibri" w:hAnsi="Calibri" w:cs="Calibri"/>
          <w:sz w:val="24"/>
          <w:szCs w:val="24"/>
        </w:rPr>
        <w:tab/>
        <w:t>Houver vinculação de uma dotação para adquirir-</w:t>
      </w:r>
      <w:proofErr w:type="gramStart"/>
      <w:r w:rsidRPr="00D95BD8">
        <w:rPr>
          <w:rFonts w:ascii="Calibri" w:hAnsi="Calibri" w:cs="Calibri"/>
          <w:sz w:val="24"/>
          <w:szCs w:val="24"/>
        </w:rPr>
        <w:t>lhes  bens</w:t>
      </w:r>
      <w:proofErr w:type="gramEnd"/>
      <w:r w:rsidRPr="00D95BD8">
        <w:rPr>
          <w:rFonts w:ascii="Calibri" w:hAnsi="Calibri" w:cs="Calibri"/>
          <w:sz w:val="24"/>
          <w:szCs w:val="24"/>
        </w:rPr>
        <w:t xml:space="preserve"> e serviços;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 w:rsidRPr="00D95BD8">
        <w:rPr>
          <w:rFonts w:ascii="Calibri" w:hAnsi="Calibri" w:cs="Calibri"/>
          <w:sz w:val="24"/>
          <w:szCs w:val="24"/>
        </w:rPr>
        <w:t>b)</w:t>
      </w:r>
      <w:r w:rsidRPr="00D95BD8">
        <w:rPr>
          <w:rFonts w:ascii="Calibri" w:hAnsi="Calibri" w:cs="Calibri"/>
          <w:sz w:val="24"/>
          <w:szCs w:val="24"/>
        </w:rPr>
        <w:tab/>
        <w:t>No</w:t>
      </w:r>
      <w:proofErr w:type="gramEnd"/>
      <w:r w:rsidRPr="00D95BD8">
        <w:rPr>
          <w:rFonts w:ascii="Calibri" w:hAnsi="Calibri" w:cs="Calibri"/>
          <w:sz w:val="24"/>
          <w:szCs w:val="24"/>
        </w:rPr>
        <w:t xml:space="preserve"> caso de detalhamento da programação de investimentos.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§ 3º A execução orçamentária e financeira das despesas realizadas de forma descentralizada observarão as normas estabelecidas pela Secretaria do Tesouro Nacional.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 xml:space="preserve">§ 4º A criação, expansão ou aperfeiçoamento de ação governamental que acarrete aumento da despesa será acompanhado de estimativa do impacto orçamentário e financeiro, ressalvado as despesas consideradas irrelevantes, que não </w:t>
      </w:r>
      <w:proofErr w:type="gramStart"/>
      <w:r w:rsidRPr="00D95BD8">
        <w:rPr>
          <w:rFonts w:ascii="Calibri" w:hAnsi="Calibri" w:cs="Calibri"/>
          <w:sz w:val="24"/>
          <w:szCs w:val="24"/>
        </w:rPr>
        <w:t>ultrapassem  a</w:t>
      </w:r>
      <w:proofErr w:type="gramEnd"/>
      <w:r w:rsidRPr="00D95BD8">
        <w:rPr>
          <w:rFonts w:ascii="Calibri" w:hAnsi="Calibri" w:cs="Calibri"/>
          <w:sz w:val="24"/>
          <w:szCs w:val="24"/>
        </w:rPr>
        <w:t xml:space="preserve"> 1% (um por cento) da Receita Corrente Líquida.</w:t>
      </w: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 xml:space="preserve">§ 5º Não se aplicam às entidades do Orçamento de Investimento as normas gerais da Lei nº 4.320, de 1964, no que concerne a regime contábil, execução do orçamento e demonstrações </w:t>
      </w:r>
      <w:proofErr w:type="gramStart"/>
      <w:r w:rsidRPr="00D95BD8">
        <w:rPr>
          <w:rFonts w:ascii="Calibri" w:hAnsi="Calibri" w:cs="Calibri"/>
          <w:sz w:val="24"/>
          <w:szCs w:val="24"/>
        </w:rPr>
        <w:t>contábeis.”</w:t>
      </w:r>
      <w:proofErr w:type="gramEnd"/>
    </w:p>
    <w:p w:rsidR="00D95BD8" w:rsidRPr="00D95BD8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D95BD8" w:rsidP="00D95B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95BD8">
        <w:rPr>
          <w:rFonts w:ascii="Calibri" w:hAnsi="Calibri" w:cs="Calibri"/>
          <w:sz w:val="24"/>
          <w:szCs w:val="24"/>
        </w:rPr>
        <w:t>Art. 4º Esta Lei entra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2E1C">
        <w:rPr>
          <w:rFonts w:ascii="Calibri" w:hAnsi="Calibri" w:cs="Calibri"/>
          <w:sz w:val="24"/>
          <w:szCs w:val="24"/>
        </w:rPr>
        <w:t>21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A52E1C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06A8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F70E5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F70E5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F70E5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06A8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06A8D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95BD8"/>
    <w:rsid w:val="00DA1BE6"/>
    <w:rsid w:val="00DA4A40"/>
    <w:rsid w:val="00DD33C1"/>
    <w:rsid w:val="00DD4D6F"/>
    <w:rsid w:val="00DF6538"/>
    <w:rsid w:val="00DF70E5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1412CA6-3446-4DC3-A54A-8919A70F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46</cp:revision>
  <cp:lastPrinted>2016-08-16T19:55:00Z</cp:lastPrinted>
  <dcterms:created xsi:type="dcterms:W3CDTF">2016-08-16T19:55:00Z</dcterms:created>
  <dcterms:modified xsi:type="dcterms:W3CDTF">2016-12-21T19:36:00Z</dcterms:modified>
</cp:coreProperties>
</file>