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1B6D4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D6AB3">
        <w:rPr>
          <w:rFonts w:ascii="Tahoma" w:hAnsi="Tahoma" w:cs="Tahoma"/>
          <w:b/>
          <w:sz w:val="32"/>
          <w:szCs w:val="32"/>
          <w:u w:val="single"/>
        </w:rPr>
        <w:t>174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D6AB3">
        <w:rPr>
          <w:rFonts w:ascii="Tahoma" w:hAnsi="Tahoma" w:cs="Tahoma"/>
          <w:b/>
          <w:sz w:val="32"/>
          <w:szCs w:val="32"/>
          <w:u w:val="single"/>
        </w:rPr>
        <w:t>141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0D6AB3" w:rsidRPr="000D6AB3" w:rsidRDefault="000D6AB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INICIATIVA: </w:t>
      </w:r>
      <w:proofErr w:type="gramStart"/>
      <w:r>
        <w:rPr>
          <w:rFonts w:ascii="Tahoma" w:hAnsi="Tahoma" w:cs="Tahoma"/>
          <w:b/>
          <w:sz w:val="32"/>
          <w:szCs w:val="32"/>
        </w:rPr>
        <w:t>VEREADOR JOÃO FARIAS</w:t>
      </w:r>
      <w:proofErr w:type="gramEnd"/>
    </w:p>
    <w:p w:rsidR="005A56CA" w:rsidRPr="001167B8" w:rsidRDefault="005A56CA" w:rsidP="00D47EAB">
      <w:pPr>
        <w:jc w:val="both"/>
        <w:rPr>
          <w:rFonts w:ascii="Calibri" w:hAnsi="Calibri" w:cs="Calibri"/>
        </w:rPr>
      </w:pPr>
    </w:p>
    <w:p w:rsidR="005A56CA" w:rsidRPr="001167B8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0D6AB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D6AB3">
        <w:rPr>
          <w:rFonts w:ascii="Calibri" w:hAnsi="Calibri" w:cs="Calibri"/>
          <w:sz w:val="22"/>
          <w:szCs w:val="22"/>
        </w:rPr>
        <w:t>Dispõe sobre a Aplicação de Multas para os Praticantes de Trotes Contra o SAMU – Serviço de Assistência Médica de Urgência e dá outras providências.</w:t>
      </w:r>
    </w:p>
    <w:p w:rsidR="003A3A7C" w:rsidRPr="001167B8" w:rsidRDefault="003A3A7C" w:rsidP="00767922">
      <w:pPr>
        <w:ind w:firstLine="2835"/>
        <w:jc w:val="both"/>
        <w:rPr>
          <w:rFonts w:ascii="Calibri" w:hAnsi="Calibri" w:cs="Calibri"/>
        </w:rPr>
      </w:pPr>
    </w:p>
    <w:p w:rsidR="00877F8D" w:rsidRPr="001167B8" w:rsidRDefault="00877F8D" w:rsidP="00767922">
      <w:pPr>
        <w:ind w:firstLine="2835"/>
        <w:jc w:val="both"/>
        <w:rPr>
          <w:rFonts w:ascii="Calibri" w:hAnsi="Calibri" w:cs="Calibri"/>
        </w:rPr>
      </w:pPr>
    </w:p>
    <w:p w:rsidR="000D6AB3" w:rsidRPr="000D6AB3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>Art. 1º Fica instituída a aplicação de multa para os proprietários de linhas telefônicas de cujos aparelhos sejam originados trotes para o SAMU – Serviço de Assistência Médica de Urgência.</w:t>
      </w:r>
    </w:p>
    <w:p w:rsidR="000D6AB3" w:rsidRPr="001167B8" w:rsidRDefault="000D6AB3" w:rsidP="000D6AB3">
      <w:pPr>
        <w:ind w:firstLine="2835"/>
        <w:jc w:val="both"/>
        <w:rPr>
          <w:rFonts w:ascii="Calibri" w:hAnsi="Calibri" w:cs="Calibri"/>
        </w:rPr>
      </w:pPr>
    </w:p>
    <w:p w:rsidR="000D6AB3" w:rsidRPr="000D6AB3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>Art. 2º Enquadra-se na definição de trote toda e qualquer ligação telefônica destinada a acionar o SAMU, que resulte frustração pela inexistência de evento anunciado.</w:t>
      </w:r>
    </w:p>
    <w:p w:rsidR="000D6AB3" w:rsidRPr="001167B8" w:rsidRDefault="000D6AB3" w:rsidP="000D6AB3">
      <w:pPr>
        <w:ind w:firstLine="2835"/>
        <w:jc w:val="both"/>
        <w:rPr>
          <w:rFonts w:ascii="Calibri" w:hAnsi="Calibri" w:cs="Calibri"/>
        </w:rPr>
      </w:pPr>
    </w:p>
    <w:p w:rsidR="000D6AB3" w:rsidRPr="000D6AB3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>Art. 3º Identificado o número do telefone de onde se originou o trote, o SAMU, por intermédio do órgão competente, encaminhará os respectivos relatórios às empresas de telefonia, para que as mesmas informem os nomes de seus proprietários.</w:t>
      </w:r>
    </w:p>
    <w:p w:rsidR="000D6AB3" w:rsidRPr="001167B8" w:rsidRDefault="000D6AB3" w:rsidP="000D6AB3">
      <w:pPr>
        <w:ind w:firstLine="2835"/>
        <w:jc w:val="both"/>
        <w:rPr>
          <w:rFonts w:ascii="Calibri" w:hAnsi="Calibri" w:cs="Calibri"/>
        </w:rPr>
      </w:pPr>
    </w:p>
    <w:p w:rsidR="000D6AB3" w:rsidRPr="000D6AB3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>Parágrafo único. As ligações originadas de telefones públicos serão anotadas em separado para futuro levantamento de incidência geográfica e posterior tentativa de identificação por agentes do órgão competente.</w:t>
      </w:r>
    </w:p>
    <w:p w:rsidR="000D6AB3" w:rsidRPr="001167B8" w:rsidRDefault="000D6AB3" w:rsidP="000D6AB3">
      <w:pPr>
        <w:ind w:firstLine="2835"/>
        <w:jc w:val="both"/>
        <w:rPr>
          <w:rFonts w:ascii="Calibri" w:hAnsi="Calibri" w:cs="Calibri"/>
        </w:rPr>
      </w:pPr>
    </w:p>
    <w:p w:rsidR="000D6AB3" w:rsidRPr="000D6AB3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 xml:space="preserve">Art. 4º Identificados os proprietários das linhas telefônicas, na forma prevista no artigo anterior, serão enviados os respectivos relatórios ao órgão competente municipal que, no seu </w:t>
      </w:r>
      <w:proofErr w:type="gramStart"/>
      <w:r w:rsidRPr="000D6AB3">
        <w:rPr>
          <w:rFonts w:ascii="Calibri" w:hAnsi="Calibri" w:cs="Calibri"/>
          <w:sz w:val="24"/>
          <w:szCs w:val="24"/>
        </w:rPr>
        <w:t>mister</w:t>
      </w:r>
      <w:proofErr w:type="gramEnd"/>
      <w:r w:rsidRPr="000D6AB3">
        <w:rPr>
          <w:rFonts w:ascii="Calibri" w:hAnsi="Calibri" w:cs="Calibri"/>
          <w:sz w:val="24"/>
          <w:szCs w:val="24"/>
        </w:rPr>
        <w:t xml:space="preserve"> institucional, adotará as medidas cabíveis, notadamente a lavratura de Auto de Infração.</w:t>
      </w:r>
    </w:p>
    <w:p w:rsidR="000D6AB3" w:rsidRPr="001167B8" w:rsidRDefault="000D6AB3" w:rsidP="000D6AB3">
      <w:pPr>
        <w:ind w:firstLine="2835"/>
        <w:jc w:val="both"/>
        <w:rPr>
          <w:rFonts w:ascii="Calibri" w:hAnsi="Calibri" w:cs="Calibri"/>
        </w:rPr>
      </w:pPr>
    </w:p>
    <w:p w:rsidR="000D6AB3" w:rsidRPr="000D6AB3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>Art. 5º A multa prevista no artigo 1º desta Lei será de 21 (vinte e uma) UFM – Unidade Fiscal do Município, aplicada a cada trote realizado, duplicando-se tal valor em caso de reincidência.</w:t>
      </w:r>
    </w:p>
    <w:p w:rsidR="000D6AB3" w:rsidRPr="001167B8" w:rsidRDefault="000D6AB3" w:rsidP="000D6AB3">
      <w:pPr>
        <w:ind w:firstLine="2835"/>
        <w:jc w:val="both"/>
        <w:rPr>
          <w:rFonts w:ascii="Calibri" w:hAnsi="Calibri" w:cs="Calibri"/>
        </w:rPr>
      </w:pPr>
    </w:p>
    <w:p w:rsidR="00032DD1" w:rsidRDefault="000D6AB3" w:rsidP="000D6AB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D6AB3">
        <w:rPr>
          <w:rFonts w:ascii="Calibri" w:hAnsi="Calibri" w:cs="Calibri"/>
          <w:sz w:val="24"/>
          <w:szCs w:val="24"/>
        </w:rPr>
        <w:t>Art. 6º Esta Lei entrará em vigor na data de sua publicação, revogadas as disposições em contrário.</w:t>
      </w:r>
    </w:p>
    <w:p w:rsidR="006D45F8" w:rsidRPr="001167B8" w:rsidRDefault="006D45F8" w:rsidP="003A3A7C">
      <w:pPr>
        <w:ind w:firstLine="2835"/>
        <w:jc w:val="both"/>
        <w:rPr>
          <w:rFonts w:ascii="Calibri" w:hAnsi="Calibri" w:cs="Calibri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65781">
        <w:rPr>
          <w:rFonts w:ascii="Calibri" w:hAnsi="Calibri" w:cs="Calibri"/>
          <w:sz w:val="24"/>
          <w:szCs w:val="24"/>
        </w:rPr>
        <w:t>14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65781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1167B8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1167B8" w:rsidRDefault="005A56CA" w:rsidP="00D47EAB">
      <w:pPr>
        <w:rPr>
          <w:rFonts w:ascii="Calibri" w:hAnsi="Calibri" w:cs="Calibri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B6D4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B6D4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D6AB3"/>
    <w:rsid w:val="000E20FC"/>
    <w:rsid w:val="001007DA"/>
    <w:rsid w:val="00101445"/>
    <w:rsid w:val="00101470"/>
    <w:rsid w:val="0010321A"/>
    <w:rsid w:val="00110847"/>
    <w:rsid w:val="001167B8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B6D47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B578E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41</cp:revision>
  <cp:lastPrinted>2016-08-16T19:55:00Z</cp:lastPrinted>
  <dcterms:created xsi:type="dcterms:W3CDTF">2016-08-16T19:55:00Z</dcterms:created>
  <dcterms:modified xsi:type="dcterms:W3CDTF">2016-09-13T14:46:00Z</dcterms:modified>
</cp:coreProperties>
</file>