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8EA" w:rsidRDefault="00FB68EA" w:rsidP="00FB68EA">
      <w:pPr>
        <w:ind w:left="567" w:right="-374"/>
        <w:jc w:val="center"/>
        <w:rPr>
          <w:sz w:val="32"/>
          <w:szCs w:val="32"/>
          <w:u w:val="words"/>
        </w:rPr>
      </w:pPr>
      <w:r>
        <w:rPr>
          <w:b/>
          <w:bCs/>
          <w:sz w:val="40"/>
          <w:szCs w:val="40"/>
        </w:rPr>
        <w:t>CÂMARA MUNICIPAL DE ARARAQUARA</w:t>
      </w:r>
    </w:p>
    <w:p w:rsidR="00FB68EA" w:rsidRDefault="00FB68EA" w:rsidP="00FB68EA">
      <w:pPr>
        <w:ind w:left="567" w:right="-374"/>
        <w:jc w:val="center"/>
        <w:rPr>
          <w:sz w:val="32"/>
          <w:szCs w:val="32"/>
          <w:u w:val="words"/>
        </w:rPr>
      </w:pPr>
    </w:p>
    <w:p w:rsidR="00FB68EA" w:rsidRDefault="00FB68EA" w:rsidP="00FB68EA">
      <w:pPr>
        <w:ind w:left="567" w:right="-374"/>
        <w:jc w:val="center"/>
        <w:rPr>
          <w:sz w:val="32"/>
          <w:szCs w:val="32"/>
          <w:u w:val="words"/>
        </w:rPr>
      </w:pPr>
      <w:r>
        <w:rPr>
          <w:sz w:val="32"/>
          <w:szCs w:val="32"/>
          <w:u w:val="words"/>
        </w:rPr>
        <w:t xml:space="preserve">COMISSÃO DE JUSTIÇA, LEGISLAÇÃO E </w:t>
      </w:r>
      <w:proofErr w:type="gramStart"/>
      <w:r>
        <w:rPr>
          <w:sz w:val="32"/>
          <w:szCs w:val="32"/>
          <w:u w:val="words"/>
        </w:rPr>
        <w:t>REDAÇÃO</w:t>
      </w:r>
      <w:proofErr w:type="gramEnd"/>
    </w:p>
    <w:p w:rsidR="00FB68EA" w:rsidRDefault="00FB68EA" w:rsidP="00FB68EA">
      <w:pPr>
        <w:ind w:left="567" w:right="-374"/>
        <w:jc w:val="center"/>
        <w:rPr>
          <w:sz w:val="32"/>
          <w:szCs w:val="32"/>
          <w:u w:val="words"/>
        </w:rPr>
      </w:pPr>
    </w:p>
    <w:p w:rsidR="00FB68EA" w:rsidRDefault="00FB68EA" w:rsidP="00FB68EA">
      <w:pPr>
        <w:ind w:left="567" w:right="-374"/>
        <w:jc w:val="center"/>
        <w:rPr>
          <w:sz w:val="32"/>
          <w:szCs w:val="32"/>
          <w:u w:val="words"/>
        </w:rPr>
      </w:pPr>
    </w:p>
    <w:tbl>
      <w:tblPr>
        <w:tblStyle w:val="Tabelacomgrade"/>
        <w:tblW w:w="5527" w:type="dxa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2"/>
        <w:gridCol w:w="1843"/>
        <w:gridCol w:w="1132"/>
      </w:tblGrid>
      <w:tr w:rsidR="00FB68EA" w:rsidTr="00FB68EA">
        <w:tc>
          <w:tcPr>
            <w:tcW w:w="2552" w:type="dxa"/>
            <w:hideMark/>
          </w:tcPr>
          <w:p w:rsidR="00FB68EA" w:rsidRDefault="00FB68EA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1843" w:type="dxa"/>
            <w:hideMark/>
          </w:tcPr>
          <w:p w:rsidR="00FB68EA" w:rsidRDefault="00FB4941">
            <w:pPr>
              <w:ind w:right="-108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182</w:t>
            </w:r>
          </w:p>
        </w:tc>
        <w:tc>
          <w:tcPr>
            <w:tcW w:w="1132" w:type="dxa"/>
            <w:hideMark/>
          </w:tcPr>
          <w:p w:rsidR="00FB68EA" w:rsidRDefault="00FB68EA">
            <w:pPr>
              <w:tabs>
                <w:tab w:val="left" w:pos="600"/>
              </w:tabs>
              <w:ind w:right="96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/16.</w:t>
            </w:r>
          </w:p>
        </w:tc>
      </w:tr>
    </w:tbl>
    <w:p w:rsidR="00FB68EA" w:rsidRDefault="00FB68EA" w:rsidP="00FB68EA">
      <w:pPr>
        <w:ind w:left="567" w:right="-374"/>
        <w:jc w:val="center"/>
        <w:rPr>
          <w:b/>
          <w:bCs/>
          <w:sz w:val="32"/>
          <w:szCs w:val="32"/>
        </w:rPr>
      </w:pPr>
    </w:p>
    <w:p w:rsidR="00FB68EA" w:rsidRDefault="00FB68EA" w:rsidP="00FB68E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FB68EA" w:rsidRDefault="00FB68EA" w:rsidP="00FB68EA">
      <w:pPr>
        <w:ind w:left="567" w:right="-374" w:firstLine="2835"/>
        <w:jc w:val="center"/>
        <w:rPr>
          <w:rFonts w:ascii="Arial" w:hAnsi="Arial" w:cs="Arial"/>
          <w:b/>
          <w:bCs/>
          <w:sz w:val="24"/>
          <w:szCs w:val="24"/>
        </w:rPr>
      </w:pPr>
    </w:p>
    <w:p w:rsidR="00FB68EA" w:rsidRDefault="00FB68EA" w:rsidP="00FB68E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Esta Comissão, de conformidade com o que deliberou o plenário em sessão ordinária de 17 de maio de 2016, apresenta a inclusa redação final ao projeto de lei nº 100/16, do Executivo Municipal que a</w:t>
      </w:r>
      <w:r w:rsidRPr="00FB68EA">
        <w:rPr>
          <w:rFonts w:ascii="Arial" w:hAnsi="Arial" w:cs="Arial"/>
          <w:sz w:val="24"/>
          <w:szCs w:val="24"/>
        </w:rPr>
        <w:t xml:space="preserve">ltera dispositivos da Lei nº 6.933, de 10 de fevereiro de 2009, que dispõe sobre a expedição do Alvará de Licença de Localização e Funcionamento pela Secretaria de Desenvolvimento Econômico da Prefeitura do Município de Araraquara e a criação da Sala do Empreendedor, subordinada à Secretaria de Desenvolvimento Econômico do Município de Araraquara, com o objetivo de apreciar e decidir o mérito nos processos relacionados à expedição, alteração e cancelamento de Alvarás de Licença de Localização e Funcionamento, visando a </w:t>
      </w:r>
      <w:proofErr w:type="gramStart"/>
      <w:r w:rsidRPr="00FB68EA">
        <w:rPr>
          <w:rFonts w:ascii="Arial" w:hAnsi="Arial" w:cs="Arial"/>
          <w:sz w:val="24"/>
          <w:szCs w:val="24"/>
        </w:rPr>
        <w:t>otimizar</w:t>
      </w:r>
      <w:proofErr w:type="gramEnd"/>
      <w:r w:rsidRPr="00FB68EA">
        <w:rPr>
          <w:rFonts w:ascii="Arial" w:hAnsi="Arial" w:cs="Arial"/>
          <w:sz w:val="24"/>
          <w:szCs w:val="24"/>
        </w:rPr>
        <w:t xml:space="preserve"> processos e prevendo, também, a substituição do Sistema de Gerenciamento Eletrônico de Emissão de Alvará, e dá outras providências.</w:t>
      </w:r>
    </w:p>
    <w:p w:rsidR="00FB68EA" w:rsidRDefault="00FB68EA" w:rsidP="00FB68E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o parecer, s.m.j.</w:t>
      </w:r>
    </w:p>
    <w:p w:rsidR="00FB68EA" w:rsidRDefault="00FB68EA" w:rsidP="00FB68EA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FB68EA" w:rsidRDefault="00FB68EA" w:rsidP="00FB68E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de reuniões das comissões, 18 de maio de 2016.</w:t>
      </w:r>
    </w:p>
    <w:p w:rsidR="00FB68EA" w:rsidRDefault="00FB68EA" w:rsidP="00FB68E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FB68EA" w:rsidRDefault="00FB68EA" w:rsidP="00FB68E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FB68EA" w:rsidRDefault="00FB68EA" w:rsidP="00FB68EA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Presidente e Relator</w:t>
      </w:r>
    </w:p>
    <w:p w:rsidR="00FB68EA" w:rsidRDefault="00FB68EA" w:rsidP="00FB68EA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sz w:val="24"/>
          <w:szCs w:val="24"/>
        </w:rPr>
        <w:t>Farmacêutico Jéferson Yashuda</w:t>
      </w:r>
    </w:p>
    <w:p w:rsidR="00FB68EA" w:rsidRDefault="00FB68EA" w:rsidP="00FB68EA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FB68EA" w:rsidRDefault="00FB68EA" w:rsidP="00FB68EA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:rsidR="00FB68EA" w:rsidRDefault="00FB68EA" w:rsidP="00FB68EA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FB68EA" w:rsidRDefault="00FB68EA" w:rsidP="00FB68EA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FB68EA" w:rsidRDefault="00FB68EA" w:rsidP="00FB68EA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Roberval Fraiz</w:t>
      </w:r>
    </w:p>
    <w:p w:rsidR="00FB68EA" w:rsidRDefault="00FB68EA" w:rsidP="00FB68EA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FB68EA" w:rsidRDefault="00FB68EA" w:rsidP="00FB68EA">
      <w:pPr>
        <w:ind w:left="567" w:right="-374"/>
        <w:rPr>
          <w:rFonts w:ascii="Arial" w:hAnsi="Arial" w:cs="Arial"/>
          <w:sz w:val="24"/>
          <w:szCs w:val="24"/>
        </w:rPr>
      </w:pPr>
    </w:p>
    <w:p w:rsidR="00FB68EA" w:rsidRDefault="00FB68EA" w:rsidP="00FB68EA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FB68EA" w:rsidRDefault="00FB68EA" w:rsidP="00FB68EA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Edio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Lopes</w:t>
      </w:r>
    </w:p>
    <w:p w:rsidR="00FB68EA" w:rsidRDefault="00FB68EA" w:rsidP="00FB68EA">
      <w:pPr>
        <w:ind w:left="567" w:right="-374"/>
        <w:rPr>
          <w:rFonts w:ascii="Arial" w:hAnsi="Arial" w:cs="Arial"/>
          <w:sz w:val="24"/>
          <w:szCs w:val="24"/>
        </w:rPr>
      </w:pPr>
    </w:p>
    <w:p w:rsidR="00FB68EA" w:rsidRDefault="00FB68EA" w:rsidP="00FB68EA">
      <w:pPr>
        <w:ind w:left="567" w:right="-374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MRDC/</w:t>
      </w:r>
    </w:p>
    <w:p w:rsidR="00FB68EA" w:rsidRDefault="00FB68EA" w:rsidP="00FB68EA">
      <w:pPr>
        <w:ind w:left="567" w:right="-374"/>
        <w:rPr>
          <w:rFonts w:ascii="Arial" w:hAnsi="Arial" w:cs="Arial"/>
          <w:sz w:val="16"/>
          <w:szCs w:val="16"/>
        </w:rPr>
      </w:pPr>
    </w:p>
    <w:p w:rsidR="00FB68EA" w:rsidRDefault="00FB68EA" w:rsidP="00FB68EA">
      <w:pPr>
        <w:ind w:left="567" w:right="-374"/>
        <w:rPr>
          <w:rFonts w:ascii="Arial" w:hAnsi="Arial" w:cs="Arial"/>
          <w:sz w:val="16"/>
          <w:szCs w:val="16"/>
        </w:rPr>
      </w:pPr>
    </w:p>
    <w:p w:rsidR="00FB68EA" w:rsidRDefault="00FB68EA" w:rsidP="00FB68EA">
      <w:pPr>
        <w:ind w:left="567" w:right="-374"/>
        <w:rPr>
          <w:rFonts w:ascii="Arial" w:hAnsi="Arial" w:cs="Arial"/>
          <w:sz w:val="16"/>
          <w:szCs w:val="16"/>
        </w:rPr>
      </w:pPr>
    </w:p>
    <w:p w:rsidR="00FB68EA" w:rsidRDefault="00FB68EA" w:rsidP="00FB68EA">
      <w:pPr>
        <w:ind w:left="567" w:right="-374"/>
        <w:rPr>
          <w:rFonts w:ascii="Arial" w:hAnsi="Arial" w:cs="Arial"/>
          <w:sz w:val="16"/>
          <w:szCs w:val="16"/>
        </w:rPr>
      </w:pPr>
    </w:p>
    <w:p w:rsidR="00FB68EA" w:rsidRDefault="00FB68EA" w:rsidP="00FB68EA">
      <w:pPr>
        <w:ind w:left="567" w:right="-374"/>
        <w:rPr>
          <w:rFonts w:ascii="Arial" w:hAnsi="Arial" w:cs="Arial"/>
          <w:sz w:val="16"/>
          <w:szCs w:val="16"/>
        </w:rPr>
      </w:pPr>
    </w:p>
    <w:p w:rsidR="00FB68EA" w:rsidRDefault="00FB68EA" w:rsidP="00FB68EA">
      <w:pPr>
        <w:ind w:left="567" w:right="-374"/>
        <w:rPr>
          <w:rFonts w:ascii="Arial" w:hAnsi="Arial" w:cs="Arial"/>
          <w:sz w:val="16"/>
          <w:szCs w:val="16"/>
        </w:rPr>
      </w:pPr>
    </w:p>
    <w:p w:rsidR="00FB68EA" w:rsidRDefault="00FB68EA" w:rsidP="00FB68EA">
      <w:pPr>
        <w:ind w:left="567" w:right="-374"/>
        <w:rPr>
          <w:rFonts w:ascii="Arial" w:hAnsi="Arial" w:cs="Arial"/>
          <w:sz w:val="16"/>
          <w:szCs w:val="16"/>
        </w:rPr>
      </w:pPr>
    </w:p>
    <w:p w:rsidR="00FB68EA" w:rsidRDefault="00FB68EA" w:rsidP="00FB68EA">
      <w:pPr>
        <w:ind w:left="567" w:right="-374"/>
        <w:rPr>
          <w:rFonts w:ascii="Arial" w:hAnsi="Arial" w:cs="Arial"/>
          <w:sz w:val="16"/>
          <w:szCs w:val="16"/>
        </w:rPr>
      </w:pPr>
    </w:p>
    <w:p w:rsidR="00FB68EA" w:rsidRDefault="00FB68EA" w:rsidP="00FB68EA">
      <w:pPr>
        <w:ind w:left="567" w:right="-374"/>
        <w:rPr>
          <w:rFonts w:ascii="Arial" w:hAnsi="Arial" w:cs="Arial"/>
          <w:sz w:val="16"/>
          <w:szCs w:val="16"/>
        </w:rPr>
      </w:pPr>
    </w:p>
    <w:p w:rsidR="00FB68EA" w:rsidRDefault="00FB68EA" w:rsidP="00FB68EA">
      <w:pPr>
        <w:ind w:left="567" w:right="-374"/>
        <w:rPr>
          <w:rFonts w:ascii="Arial" w:hAnsi="Arial" w:cs="Arial"/>
          <w:sz w:val="16"/>
          <w:szCs w:val="16"/>
        </w:rPr>
      </w:pPr>
    </w:p>
    <w:p w:rsidR="00FB68EA" w:rsidRDefault="00FB68EA" w:rsidP="00FB68EA">
      <w:pPr>
        <w:ind w:left="567" w:right="-374"/>
        <w:rPr>
          <w:rFonts w:ascii="Arial" w:hAnsi="Arial" w:cs="Arial"/>
          <w:sz w:val="16"/>
          <w:szCs w:val="16"/>
        </w:rPr>
      </w:pPr>
    </w:p>
    <w:p w:rsidR="00FB68EA" w:rsidRDefault="00FB68EA" w:rsidP="00FB68EA">
      <w:pPr>
        <w:ind w:left="567" w:right="-374"/>
        <w:rPr>
          <w:rFonts w:ascii="Arial" w:hAnsi="Arial" w:cs="Arial"/>
          <w:sz w:val="16"/>
          <w:szCs w:val="16"/>
        </w:rPr>
      </w:pPr>
    </w:p>
    <w:p w:rsidR="00FB68EA" w:rsidRDefault="00FB68EA" w:rsidP="00FB68EA">
      <w:pPr>
        <w:ind w:left="567" w:right="-374"/>
        <w:rPr>
          <w:rFonts w:ascii="Arial" w:hAnsi="Arial" w:cs="Arial"/>
          <w:sz w:val="16"/>
          <w:szCs w:val="16"/>
        </w:rPr>
      </w:pPr>
    </w:p>
    <w:p w:rsidR="00FB68EA" w:rsidRDefault="00FB68EA" w:rsidP="00FB68EA">
      <w:pPr>
        <w:ind w:left="567" w:right="-374"/>
        <w:jc w:val="center"/>
        <w:rPr>
          <w:rFonts w:ascii="Times New Roman" w:hAnsi="Times New Roman" w:cs="Times New Roman"/>
          <w:sz w:val="32"/>
          <w:szCs w:val="32"/>
          <w:u w:val="words"/>
        </w:rPr>
      </w:pPr>
      <w:r>
        <w:rPr>
          <w:b/>
          <w:bCs/>
          <w:sz w:val="40"/>
          <w:szCs w:val="40"/>
        </w:rPr>
        <w:lastRenderedPageBreak/>
        <w:t>CÂMARA MUNICIPAL DE ARARAQUARA</w:t>
      </w:r>
    </w:p>
    <w:p w:rsidR="00FB68EA" w:rsidRDefault="00FB68EA" w:rsidP="00FB68EA">
      <w:pPr>
        <w:ind w:left="567" w:right="-374"/>
        <w:jc w:val="center"/>
        <w:rPr>
          <w:sz w:val="32"/>
          <w:szCs w:val="32"/>
          <w:u w:val="words"/>
        </w:rPr>
      </w:pPr>
      <w:r>
        <w:rPr>
          <w:sz w:val="32"/>
          <w:szCs w:val="32"/>
          <w:u w:val="words"/>
        </w:rPr>
        <w:t xml:space="preserve">COMISSÃO DE JUSTIÇA, LEGISLAÇÃO E </w:t>
      </w:r>
      <w:proofErr w:type="gramStart"/>
      <w:r>
        <w:rPr>
          <w:sz w:val="32"/>
          <w:szCs w:val="32"/>
          <w:u w:val="words"/>
        </w:rPr>
        <w:t>REDAÇÃO</w:t>
      </w:r>
      <w:proofErr w:type="gramEnd"/>
    </w:p>
    <w:p w:rsidR="00FB68EA" w:rsidRDefault="00FB68EA" w:rsidP="00FB68EA">
      <w:pPr>
        <w:ind w:left="567" w:right="-374"/>
        <w:jc w:val="center"/>
        <w:rPr>
          <w:sz w:val="32"/>
          <w:szCs w:val="32"/>
          <w:u w:val="words"/>
        </w:rPr>
      </w:pPr>
    </w:p>
    <w:p w:rsidR="00FB68EA" w:rsidRDefault="00FB68EA" w:rsidP="00FB68EA">
      <w:pPr>
        <w:ind w:left="567" w:right="-37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PROJETO DE LEI Nº 100/16.</w:t>
      </w:r>
    </w:p>
    <w:p w:rsidR="00FB68EA" w:rsidRDefault="00FB68EA" w:rsidP="00FB68E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FB68EA" w:rsidRDefault="00FB68EA" w:rsidP="00FB68EA">
      <w:pPr>
        <w:ind w:left="424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>
        <w:rPr>
          <w:rFonts w:eastAsia="Times New Roman" w:cstheme="minorHAnsi"/>
          <w:bCs/>
          <w:sz w:val="24"/>
          <w:szCs w:val="24"/>
          <w:lang w:eastAsia="pt-BR"/>
        </w:rPr>
        <w:t>Altera dispositivos da Lei nº 6.933/09 e dá outras providências.</w:t>
      </w:r>
    </w:p>
    <w:p w:rsidR="00FB68EA" w:rsidRDefault="00FB68EA" w:rsidP="00FB68EA">
      <w:pPr>
        <w:jc w:val="center"/>
        <w:rPr>
          <w:rFonts w:eastAsia="Times New Roman" w:cstheme="minorHAnsi"/>
          <w:bCs/>
          <w:sz w:val="24"/>
          <w:szCs w:val="24"/>
          <w:lang w:eastAsia="pt-BR"/>
        </w:rPr>
      </w:pPr>
    </w:p>
    <w:p w:rsidR="00FB68EA" w:rsidRDefault="00FB68EA" w:rsidP="00FB68EA">
      <w:pPr>
        <w:ind w:left="5040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 </w:t>
      </w:r>
    </w:p>
    <w:p w:rsidR="00FB68EA" w:rsidRDefault="00FB68EA" w:rsidP="00FB68EA">
      <w:pPr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Art. 1º</w:t>
      </w:r>
      <w:r>
        <w:rPr>
          <w:rFonts w:eastAsia="Times New Roman" w:cstheme="minorHAnsi"/>
          <w:sz w:val="24"/>
          <w:szCs w:val="24"/>
          <w:lang w:eastAsia="pt-BR"/>
        </w:rPr>
        <w:t xml:space="preserve"> O parágrafo único do art. 1º da Lei nº 6.933, de 10 de fevereiro de 2009, passa vigorar com a seguinte redação:</w:t>
      </w:r>
    </w:p>
    <w:p w:rsidR="00FB68EA" w:rsidRDefault="00FB68EA" w:rsidP="00FB68EA">
      <w:pPr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bookmarkStart w:id="0" w:name="art1"/>
      <w:bookmarkEnd w:id="0"/>
      <w:r>
        <w:rPr>
          <w:rFonts w:eastAsia="Times New Roman" w:cstheme="minorHAnsi"/>
          <w:sz w:val="24"/>
          <w:szCs w:val="24"/>
          <w:lang w:eastAsia="pt-BR"/>
        </w:rPr>
        <w:t> </w:t>
      </w:r>
    </w:p>
    <w:p w:rsidR="00FB68EA" w:rsidRDefault="00957C84" w:rsidP="00FB68EA">
      <w:pPr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“</w:t>
      </w:r>
      <w:r>
        <w:rPr>
          <w:rFonts w:eastAsia="Times New Roman" w:cstheme="minorHAnsi"/>
          <w:b/>
          <w:sz w:val="24"/>
          <w:szCs w:val="24"/>
          <w:lang w:eastAsia="pt-BR"/>
        </w:rPr>
        <w:t>Parágrafo único</w:t>
      </w:r>
      <w:r>
        <w:rPr>
          <w:rFonts w:eastAsia="Times New Roman" w:cstheme="minorHAnsi"/>
          <w:sz w:val="24"/>
          <w:szCs w:val="24"/>
          <w:lang w:eastAsia="pt-BR"/>
        </w:rPr>
        <w:t xml:space="preserve">. As atividades desenvolvidas pelos estabelecimentos serão lançadas no Programa de Gerenciamento Eletrônico de Abertura de Empresas </w:t>
      </w:r>
      <w:proofErr w:type="spellStart"/>
      <w:r>
        <w:rPr>
          <w:rFonts w:eastAsia="Times New Roman" w:cstheme="minorHAnsi"/>
          <w:sz w:val="24"/>
          <w:szCs w:val="24"/>
          <w:lang w:eastAsia="pt-BR"/>
        </w:rPr>
        <w:t>on</w:t>
      </w:r>
      <w:proofErr w:type="spellEnd"/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pt-BR"/>
        </w:rPr>
        <w:t>line</w:t>
      </w:r>
      <w:proofErr w:type="spellEnd"/>
      <w:r>
        <w:rPr>
          <w:rFonts w:eastAsia="Times New Roman" w:cstheme="minorHAnsi"/>
          <w:sz w:val="24"/>
          <w:szCs w:val="24"/>
          <w:lang w:eastAsia="pt-BR"/>
        </w:rPr>
        <w:t xml:space="preserve"> – </w:t>
      </w:r>
      <w:proofErr w:type="spellStart"/>
      <w:proofErr w:type="gramStart"/>
      <w:r>
        <w:rPr>
          <w:rFonts w:eastAsia="Times New Roman" w:cstheme="minorHAnsi"/>
          <w:sz w:val="24"/>
          <w:szCs w:val="24"/>
          <w:lang w:eastAsia="pt-BR"/>
        </w:rPr>
        <w:t>iCadOnline</w:t>
      </w:r>
      <w:proofErr w:type="spellEnd"/>
      <w:proofErr w:type="gramEnd"/>
      <w:r>
        <w:rPr>
          <w:rFonts w:eastAsia="Times New Roman" w:cstheme="minorHAnsi"/>
          <w:sz w:val="24"/>
          <w:szCs w:val="24"/>
          <w:lang w:eastAsia="pt-BR"/>
        </w:rPr>
        <w:t>, de acordo com o respectivo código CNAE (Classificação Nacional de Atividades Econômicas).”</w:t>
      </w:r>
    </w:p>
    <w:p w:rsidR="00FB68EA" w:rsidRDefault="00FB68EA" w:rsidP="00FB68EA">
      <w:pPr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 </w:t>
      </w:r>
      <w:bookmarkStart w:id="1" w:name="art2"/>
      <w:bookmarkEnd w:id="1"/>
      <w:r>
        <w:rPr>
          <w:rFonts w:eastAsia="Times New Roman" w:cstheme="minorHAnsi"/>
          <w:sz w:val="24"/>
          <w:szCs w:val="24"/>
          <w:lang w:eastAsia="pt-BR"/>
        </w:rPr>
        <w:t> </w:t>
      </w:r>
      <w:bookmarkStart w:id="2" w:name="art3"/>
      <w:bookmarkEnd w:id="2"/>
      <w:r>
        <w:rPr>
          <w:rFonts w:eastAsia="Times New Roman" w:cstheme="minorHAnsi"/>
          <w:sz w:val="24"/>
          <w:szCs w:val="24"/>
          <w:lang w:eastAsia="pt-BR"/>
        </w:rPr>
        <w:t> </w:t>
      </w:r>
      <w:bookmarkStart w:id="3" w:name="art4"/>
      <w:bookmarkEnd w:id="3"/>
      <w:r>
        <w:rPr>
          <w:rFonts w:eastAsia="Times New Roman" w:cstheme="minorHAnsi"/>
          <w:sz w:val="24"/>
          <w:szCs w:val="24"/>
          <w:lang w:eastAsia="pt-BR"/>
        </w:rPr>
        <w:t> </w:t>
      </w:r>
    </w:p>
    <w:p w:rsidR="00FB68EA" w:rsidRDefault="00FB68EA" w:rsidP="00FB68EA">
      <w:pPr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Art. 2º</w:t>
      </w:r>
      <w:r>
        <w:rPr>
          <w:rFonts w:eastAsia="Times New Roman" w:cstheme="minorHAnsi"/>
          <w:sz w:val="24"/>
          <w:szCs w:val="24"/>
          <w:lang w:eastAsia="pt-BR"/>
        </w:rPr>
        <w:t xml:space="preserve"> O art. 7º da Lei nº 6.933, de 10 de fevereiro de 2009, passa vigorar acrescido de dois parágrafos, com a seguinte redação:</w:t>
      </w:r>
    </w:p>
    <w:p w:rsidR="00FB68EA" w:rsidRDefault="00FB68EA" w:rsidP="00FB68EA">
      <w:pPr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bookmarkStart w:id="4" w:name="art6"/>
      <w:bookmarkStart w:id="5" w:name="art7"/>
      <w:bookmarkEnd w:id="4"/>
      <w:bookmarkEnd w:id="5"/>
    </w:p>
    <w:p w:rsidR="00A35ABF" w:rsidRDefault="00A35ABF" w:rsidP="00A35ABF">
      <w:pPr>
        <w:ind w:right="-46" w:firstLine="2835"/>
        <w:jc w:val="both"/>
        <w:rPr>
          <w:rFonts w:ascii="Bookman Old Style" w:hAnsi="Bookman Old Style" w:cs="Arial"/>
        </w:rPr>
      </w:pPr>
      <w:r w:rsidRPr="00A35ABF">
        <w:rPr>
          <w:rFonts w:ascii="Bookman Old Style" w:hAnsi="Bookman Old Style" w:cs="Arial"/>
          <w:b/>
        </w:rPr>
        <w:t>§ 1</w:t>
      </w:r>
      <w:r w:rsidRPr="00A35ABF">
        <w:rPr>
          <w:rFonts w:ascii="Calibri" w:hAnsi="Calibri" w:cs="Arial"/>
          <w:b/>
        </w:rPr>
        <w:t>º</w:t>
      </w:r>
      <w:r>
        <w:rPr>
          <w:rFonts w:ascii="Bookman Old Style" w:hAnsi="Bookman Old Style" w:cs="Arial"/>
        </w:rPr>
        <w:t xml:space="preserve"> Em caso de atividade econômica de baixo grau de risco com até 500 m</w:t>
      </w:r>
      <w:r>
        <w:rPr>
          <w:rFonts w:ascii="Bookman Old Style" w:hAnsi="Bookman Old Style" w:cs="Arial"/>
          <w:vertAlign w:val="superscript"/>
        </w:rPr>
        <w:t>2</w:t>
      </w:r>
      <w:r>
        <w:rPr>
          <w:rFonts w:ascii="Bookman Old Style" w:hAnsi="Bookman Old Style" w:cs="Arial"/>
        </w:rPr>
        <w:t>, a diligência poderá ser realizada após a expedição do Alvará Provisório que terá o tempo de até 180 (cento e oitenta) dias podendo ser prorrogado por igual período, que poderá ser cassado em caso de irregularidade.</w:t>
      </w:r>
    </w:p>
    <w:p w:rsidR="00A35ABF" w:rsidRDefault="00A35ABF" w:rsidP="00A35ABF">
      <w:pPr>
        <w:ind w:right="-567" w:firstLine="2835"/>
        <w:jc w:val="both"/>
        <w:rPr>
          <w:rFonts w:ascii="Bookman Old Style" w:hAnsi="Bookman Old Style" w:cs="Arial"/>
        </w:rPr>
      </w:pPr>
    </w:p>
    <w:p w:rsidR="00FB68EA" w:rsidRDefault="00A35ABF" w:rsidP="00A35ABF">
      <w:pPr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A35ABF">
        <w:rPr>
          <w:rFonts w:ascii="Bookman Old Style" w:hAnsi="Bookman Old Style" w:cs="Arial"/>
          <w:b/>
        </w:rPr>
        <w:t>§ 2</w:t>
      </w:r>
      <w:r w:rsidRPr="00A35ABF">
        <w:rPr>
          <w:rFonts w:cs="Arial"/>
          <w:b/>
        </w:rPr>
        <w:t>º</w:t>
      </w:r>
      <w:r>
        <w:rPr>
          <w:rFonts w:ascii="Bookman Old Style" w:hAnsi="Bookman Old Style" w:cs="Arial"/>
        </w:rPr>
        <w:t xml:space="preserve"> Entende-se por atividade econômica de baixo grau de risco aquela dispensada das licenças expedidas por outros órgãos e Secretarias.</w:t>
      </w:r>
      <w:r w:rsidR="00FB68EA">
        <w:rPr>
          <w:rFonts w:eastAsia="Times New Roman" w:cstheme="minorHAnsi"/>
          <w:sz w:val="24"/>
          <w:szCs w:val="24"/>
          <w:lang w:eastAsia="pt-BR"/>
        </w:rPr>
        <w:t>”</w:t>
      </w:r>
    </w:p>
    <w:p w:rsidR="00FB68EA" w:rsidRDefault="00FB68EA" w:rsidP="00FB68EA">
      <w:pPr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FB68EA" w:rsidRPr="00982FB2" w:rsidRDefault="00FB68EA" w:rsidP="00FB68EA">
      <w:pPr>
        <w:ind w:firstLine="2835"/>
        <w:jc w:val="both"/>
      </w:pPr>
      <w:r>
        <w:rPr>
          <w:rFonts w:eastAsia="Times New Roman" w:cstheme="minorHAnsi"/>
          <w:b/>
          <w:sz w:val="24"/>
          <w:szCs w:val="24"/>
          <w:lang w:eastAsia="pt-BR"/>
        </w:rPr>
        <w:t>Art. 3º</w:t>
      </w:r>
      <w:r>
        <w:rPr>
          <w:rFonts w:eastAsia="Times New Roman" w:cstheme="minorHAnsi"/>
          <w:sz w:val="24"/>
          <w:szCs w:val="24"/>
          <w:lang w:eastAsia="pt-BR"/>
        </w:rPr>
        <w:t xml:space="preserve"> Esta lei entra em vigor na data de sua publicação, revogadas as disposições em contrário.</w:t>
      </w:r>
    </w:p>
    <w:p w:rsidR="00FB68EA" w:rsidRDefault="00FB68EA" w:rsidP="00FB68EA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FB68EA" w:rsidRDefault="00FB68EA" w:rsidP="00FB68EA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FB68EA" w:rsidRDefault="00FB68EA" w:rsidP="00FB68EA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FB68EA" w:rsidRDefault="00FB68EA" w:rsidP="00FB68E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de reuniões das comissões, 18 de maio de 2016.</w:t>
      </w:r>
    </w:p>
    <w:p w:rsidR="00FB68EA" w:rsidRDefault="00FB68EA" w:rsidP="00FB68E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FB68EA" w:rsidRDefault="00FB68EA" w:rsidP="00FB68E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FB68EA" w:rsidRDefault="00FB68EA" w:rsidP="00FB68EA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Presidente e Relator</w:t>
      </w:r>
    </w:p>
    <w:p w:rsidR="00FB68EA" w:rsidRDefault="00FB68EA" w:rsidP="00FB68EA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sz w:val="24"/>
          <w:szCs w:val="24"/>
        </w:rPr>
        <w:t>Farmacêutico Jéferson Yashuda</w:t>
      </w:r>
    </w:p>
    <w:p w:rsidR="00FB68EA" w:rsidRDefault="00FB68EA" w:rsidP="00FB68EA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FB68EA" w:rsidRDefault="00FB68EA" w:rsidP="00FB68EA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:rsidR="00FB68EA" w:rsidRDefault="00FB68EA" w:rsidP="00FB68EA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FB68EA" w:rsidRDefault="00FB68EA" w:rsidP="00FB68EA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FB68EA" w:rsidRDefault="00FB68EA" w:rsidP="00FB68EA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Roberval Fraiz</w:t>
      </w:r>
    </w:p>
    <w:p w:rsidR="00FB68EA" w:rsidRDefault="00FB68EA" w:rsidP="00FB68EA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FB68EA" w:rsidRDefault="00FB68EA" w:rsidP="00FB68EA">
      <w:pPr>
        <w:ind w:left="567" w:right="-374"/>
        <w:rPr>
          <w:rFonts w:ascii="Arial" w:hAnsi="Arial" w:cs="Arial"/>
          <w:sz w:val="24"/>
          <w:szCs w:val="24"/>
        </w:rPr>
      </w:pPr>
    </w:p>
    <w:p w:rsidR="00FB68EA" w:rsidRDefault="00FB68EA" w:rsidP="00FB68EA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FB68EA" w:rsidRDefault="00FB68EA" w:rsidP="00FB68EA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Edio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Lopes</w:t>
      </w:r>
    </w:p>
    <w:p w:rsidR="00FB68EA" w:rsidRDefault="00FB68EA" w:rsidP="00FB68EA">
      <w:pPr>
        <w:ind w:left="567" w:right="-374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MRDC/</w:t>
      </w:r>
      <w:bookmarkStart w:id="6" w:name="_GoBack"/>
      <w:bookmarkEnd w:id="6"/>
    </w:p>
    <w:sectPr w:rsidR="00FB68EA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345AB"/>
    <w:rsid w:val="001915A3"/>
    <w:rsid w:val="00217F62"/>
    <w:rsid w:val="00620611"/>
    <w:rsid w:val="00957C84"/>
    <w:rsid w:val="00982FB2"/>
    <w:rsid w:val="00A35ABF"/>
    <w:rsid w:val="00A906D8"/>
    <w:rsid w:val="00AB5A74"/>
    <w:rsid w:val="00C2437A"/>
    <w:rsid w:val="00F071AE"/>
    <w:rsid w:val="00FB4941"/>
    <w:rsid w:val="00FB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acomgrade">
    <w:name w:val="Table Grid"/>
    <w:basedOn w:val="Tabelanormal"/>
    <w:uiPriority w:val="99"/>
    <w:rsid w:val="00C2437A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491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 R. D. Cavalcanti</cp:lastModifiedBy>
  <cp:revision>15</cp:revision>
  <cp:lastPrinted>2016-05-19T18:29:00Z</cp:lastPrinted>
  <dcterms:created xsi:type="dcterms:W3CDTF">2015-06-01T21:33:00Z</dcterms:created>
  <dcterms:modified xsi:type="dcterms:W3CDTF">2016-05-19T18:29:00Z</dcterms:modified>
</cp:coreProperties>
</file>