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16E60" w:rsidTr="0086780D">
        <w:tc>
          <w:tcPr>
            <w:tcW w:w="2552" w:type="dxa"/>
          </w:tcPr>
          <w:p w:rsidR="006848DA" w:rsidRPr="006848DA" w:rsidRDefault="005A178E"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5A178E"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169</w:t>
            </w:r>
          </w:p>
        </w:tc>
        <w:tc>
          <w:tcPr>
            <w:tcW w:w="1797" w:type="dxa"/>
          </w:tcPr>
          <w:p w:rsidR="006848DA" w:rsidRPr="006848DA" w:rsidRDefault="005A178E"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5A178E"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Lei Complementar nº 5/2025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5A178E"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205/2025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5A178E"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CORONEL PRADO, RAFAEL DE ANGELI</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5A178E"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Altera a Lei Complementar nº 17, de 1º de dezembro de 1997 (Código Tributário do Município de Araraquara), de modo a prever o pagamento das obrigações tributárias pelo sistema Pix.</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Default="005A178E" w:rsidP="005D6D7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8739AE">
        <w:rPr>
          <w:rFonts w:ascii="Arial" w:eastAsia="Times New Roman" w:hAnsi="Arial" w:cs="Arial"/>
          <w:szCs w:val="24"/>
          <w:lang w:eastAsia="pt-BR"/>
        </w:rPr>
        <w:t>A presente propositura</w:t>
      </w:r>
      <w:r w:rsidR="005D6D7A">
        <w:rPr>
          <w:rFonts w:ascii="Arial" w:eastAsia="Times New Roman" w:hAnsi="Arial" w:cs="Arial"/>
          <w:szCs w:val="24"/>
          <w:lang w:eastAsia="pt-BR"/>
        </w:rPr>
        <w:t xml:space="preserve"> visa à disponibilização de meios digitais de pagamento para a quitação de débitos tributários, taxas e contribuições no Município de Araraquara. </w:t>
      </w:r>
    </w:p>
    <w:p w:rsidR="005D6D7A" w:rsidRDefault="005D6D7A" w:rsidP="005D6D7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5D6D7A" w:rsidRDefault="008739AE" w:rsidP="005D6D7A">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Pr>
          <w:rFonts w:ascii="Arial" w:eastAsia="Times New Roman" w:hAnsi="Arial" w:cs="Arial"/>
          <w:szCs w:val="24"/>
          <w:lang w:eastAsia="pt-BR"/>
        </w:rPr>
        <w:t xml:space="preserve">Inicialmente, no que se refere à possibilidade de legislar localmente sobre o tema, conforme o art. 30, I, da Constituição Federal c.c art. 21, II, da Lei Orgânica do Município de Araraquara, entende-se que o município é competente para dispor sobre a matéria, uma vez que se trata de assunto de interesse local, consistente no pagamento de tributos de competência do Município. </w:t>
      </w:r>
    </w:p>
    <w:p w:rsidR="00D049E4" w:rsidRDefault="00D049E4" w:rsidP="005D6D7A">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p>
    <w:p w:rsidR="00D049E4" w:rsidRDefault="008739AE" w:rsidP="005D6D7A">
      <w:pPr>
        <w:tabs>
          <w:tab w:val="left" w:pos="709"/>
          <w:tab w:val="left" w:pos="1418"/>
        </w:tabs>
        <w:autoSpaceDE w:val="0"/>
        <w:autoSpaceDN w:val="0"/>
        <w:spacing w:line="240" w:lineRule="auto"/>
        <w:ind w:left="34" w:firstLine="1418"/>
        <w:jc w:val="both"/>
      </w:pPr>
      <w:r>
        <w:rPr>
          <w:rFonts w:ascii="Arial" w:eastAsia="Times New Roman" w:hAnsi="Arial" w:cs="Arial"/>
          <w:szCs w:val="24"/>
          <w:lang w:eastAsia="pt-BR"/>
        </w:rPr>
        <w:t>Quanto</w:t>
      </w:r>
      <w:r w:rsidR="005D6D7A" w:rsidRPr="005D6D7A">
        <w:rPr>
          <w:rFonts w:ascii="Arial" w:eastAsia="Times New Roman" w:hAnsi="Arial" w:cs="Arial"/>
          <w:szCs w:val="24"/>
          <w:lang w:eastAsia="pt-BR"/>
        </w:rPr>
        <w:t xml:space="preserve"> à competência </w:t>
      </w:r>
      <w:r w:rsidR="003578D3">
        <w:rPr>
          <w:rFonts w:ascii="Arial" w:eastAsia="Times New Roman" w:hAnsi="Arial" w:cs="Arial"/>
          <w:szCs w:val="24"/>
          <w:lang w:eastAsia="pt-BR"/>
        </w:rPr>
        <w:t>dos vereadores</w:t>
      </w:r>
      <w:r w:rsidR="005D6D7A" w:rsidRPr="005D6D7A">
        <w:rPr>
          <w:rFonts w:ascii="Arial" w:eastAsia="Times New Roman" w:hAnsi="Arial" w:cs="Arial"/>
          <w:szCs w:val="24"/>
          <w:lang w:eastAsia="pt-BR"/>
        </w:rPr>
        <w:t xml:space="preserve"> para iniciar o processo legislativo, </w:t>
      </w:r>
      <w:r w:rsidR="00D049E4">
        <w:rPr>
          <w:rFonts w:ascii="Arial" w:eastAsia="Times New Roman" w:hAnsi="Arial" w:cs="Arial"/>
          <w:szCs w:val="24"/>
          <w:lang w:eastAsia="pt-BR"/>
        </w:rPr>
        <w:t xml:space="preserve">entende-se que o </w:t>
      </w:r>
      <w:r w:rsidR="005D6D7A" w:rsidRPr="005D6D7A">
        <w:rPr>
          <w:rFonts w:ascii="Arial" w:eastAsia="Times New Roman" w:hAnsi="Arial" w:cs="Arial"/>
          <w:szCs w:val="24"/>
          <w:lang w:eastAsia="pt-BR"/>
        </w:rPr>
        <w:t xml:space="preserve">projeto não usurpa a competência privativa do Chefe do Poder Executivo, </w:t>
      </w:r>
      <w:r>
        <w:rPr>
          <w:rFonts w:ascii="Arial" w:eastAsia="Times New Roman" w:hAnsi="Arial" w:cs="Arial"/>
          <w:szCs w:val="24"/>
          <w:lang w:eastAsia="pt-BR"/>
        </w:rPr>
        <w:t xml:space="preserve">uma vez </w:t>
      </w:r>
      <w:r w:rsidR="005D6D7A" w:rsidRPr="005D6D7A">
        <w:rPr>
          <w:rFonts w:ascii="Arial" w:eastAsia="Times New Roman" w:hAnsi="Arial" w:cs="Arial"/>
          <w:szCs w:val="24"/>
          <w:lang w:eastAsia="pt-BR"/>
        </w:rPr>
        <w:t>que não confere novas atribuições aos órgãos públicos municipais ou seus servidores, nem viola à reserva de administração do Poder Executivo, não havendo que se falar em vício de iniciativa.</w:t>
      </w:r>
      <w:r w:rsidR="005D6D7A" w:rsidRPr="005D6D7A">
        <w:t xml:space="preserve"> </w:t>
      </w:r>
    </w:p>
    <w:p w:rsidR="00D049E4" w:rsidRDefault="00D049E4" w:rsidP="005D6D7A">
      <w:pPr>
        <w:tabs>
          <w:tab w:val="left" w:pos="709"/>
          <w:tab w:val="left" w:pos="1418"/>
        </w:tabs>
        <w:autoSpaceDE w:val="0"/>
        <w:autoSpaceDN w:val="0"/>
        <w:spacing w:line="240" w:lineRule="auto"/>
        <w:ind w:left="34" w:firstLine="1418"/>
        <w:jc w:val="both"/>
      </w:pPr>
    </w:p>
    <w:p w:rsidR="005D6D7A" w:rsidRDefault="00D049E4" w:rsidP="005D6D7A">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Pr>
          <w:rFonts w:ascii="Arial" w:eastAsia="Times New Roman" w:hAnsi="Arial" w:cs="Arial"/>
          <w:szCs w:val="24"/>
          <w:lang w:eastAsia="pt-BR"/>
        </w:rPr>
        <w:t>Adicionalmente</w:t>
      </w:r>
      <w:r w:rsidR="005D6D7A">
        <w:rPr>
          <w:rFonts w:ascii="Arial" w:eastAsia="Times New Roman" w:hAnsi="Arial" w:cs="Arial"/>
          <w:szCs w:val="24"/>
          <w:lang w:eastAsia="pt-BR"/>
        </w:rPr>
        <w:t>,</w:t>
      </w:r>
      <w:r w:rsidR="005D6D7A" w:rsidRPr="005D6D7A">
        <w:rPr>
          <w:rFonts w:ascii="Arial" w:eastAsia="Times New Roman" w:hAnsi="Arial" w:cs="Arial"/>
          <w:szCs w:val="24"/>
          <w:lang w:eastAsia="pt-BR"/>
        </w:rPr>
        <w:t xml:space="preserve"> conforme decisão do Supremo Tribunal Federal em Tema de Repercussão Geral nº 682, inexiste no texto constitucional previsão de iniciativa exclusiva do Chefe do Executivo em matéria tributária, não havendo óbice, portanto, a proposição de tal projeto por parte </w:t>
      </w:r>
      <w:r>
        <w:rPr>
          <w:rFonts w:ascii="Arial" w:eastAsia="Times New Roman" w:hAnsi="Arial" w:cs="Arial"/>
          <w:szCs w:val="24"/>
          <w:lang w:eastAsia="pt-BR"/>
        </w:rPr>
        <w:t>dos vereadores.</w:t>
      </w:r>
    </w:p>
    <w:p w:rsidR="00D049E4" w:rsidRPr="00D049E4" w:rsidRDefault="00D049E4" w:rsidP="00D049E4">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p>
    <w:p w:rsidR="00D049E4" w:rsidRDefault="00D049E4" w:rsidP="00D049E4">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D049E4">
        <w:rPr>
          <w:rFonts w:ascii="Arial" w:eastAsia="Times New Roman" w:hAnsi="Arial" w:cs="Arial"/>
          <w:szCs w:val="24"/>
          <w:lang w:eastAsia="pt-BR"/>
        </w:rPr>
        <w:t xml:space="preserve">Por fim, é relevante destacar a jurisprudência reiterada </w:t>
      </w:r>
      <w:r>
        <w:rPr>
          <w:rFonts w:ascii="Arial" w:eastAsia="Times New Roman" w:hAnsi="Arial" w:cs="Arial"/>
          <w:szCs w:val="24"/>
          <w:lang w:eastAsia="pt-BR"/>
        </w:rPr>
        <w:t xml:space="preserve">do Tribunal de </w:t>
      </w:r>
      <w:r w:rsidR="003578D3">
        <w:rPr>
          <w:rFonts w:ascii="Arial" w:eastAsia="Times New Roman" w:hAnsi="Arial" w:cs="Arial"/>
          <w:szCs w:val="24"/>
          <w:lang w:eastAsia="pt-BR"/>
        </w:rPr>
        <w:t>Justiça do Estado de</w:t>
      </w:r>
      <w:r>
        <w:rPr>
          <w:rFonts w:ascii="Arial" w:eastAsia="Times New Roman" w:hAnsi="Arial" w:cs="Arial"/>
          <w:szCs w:val="24"/>
          <w:lang w:eastAsia="pt-BR"/>
        </w:rPr>
        <w:t xml:space="preserve"> São Paulo</w:t>
      </w:r>
      <w:r w:rsidRPr="00D049E4">
        <w:rPr>
          <w:rFonts w:ascii="Arial" w:eastAsia="Times New Roman" w:hAnsi="Arial" w:cs="Arial"/>
          <w:szCs w:val="24"/>
          <w:lang w:eastAsia="pt-BR"/>
        </w:rPr>
        <w:t xml:space="preserve"> sobre a constitucionalidade de leis municipais, de iniciativa parlamentar, que estabelecem novas formas de pagamento de natureza tributária:</w:t>
      </w:r>
    </w:p>
    <w:p w:rsidR="00D049E4" w:rsidRDefault="00D049E4" w:rsidP="00D049E4">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p>
    <w:p w:rsidR="00D049E4" w:rsidRDefault="00D049E4" w:rsidP="00D049E4">
      <w:pPr>
        <w:tabs>
          <w:tab w:val="left" w:pos="709"/>
          <w:tab w:val="left" w:pos="1418"/>
        </w:tabs>
        <w:autoSpaceDE w:val="0"/>
        <w:autoSpaceDN w:val="0"/>
        <w:spacing w:line="240" w:lineRule="auto"/>
        <w:ind w:left="2124"/>
        <w:jc w:val="both"/>
        <w:rPr>
          <w:rFonts w:ascii="Arial" w:eastAsia="Times New Roman" w:hAnsi="Arial" w:cs="Arial"/>
          <w:sz w:val="22"/>
          <w:szCs w:val="24"/>
          <w:lang w:eastAsia="pt-BR"/>
        </w:rPr>
      </w:pPr>
      <w:r w:rsidRPr="00D049E4">
        <w:rPr>
          <w:rFonts w:ascii="Arial" w:eastAsia="Times New Roman" w:hAnsi="Arial" w:cs="Arial"/>
          <w:sz w:val="22"/>
          <w:szCs w:val="24"/>
          <w:lang w:eastAsia="pt-BR"/>
        </w:rPr>
        <w:t>“AÇÃO DIRETA DE INCONSTITUCIONALIDADE DA LEI MUNICIPAL Nº 3.672, DE 16 DE DEZEMBRO DE 2020, DO MUNICÍPIO DE ITÁPOLIS, DE </w:t>
      </w:r>
      <w:r w:rsidRPr="00D049E4">
        <w:rPr>
          <w:rFonts w:ascii="Arial" w:eastAsia="Times New Roman" w:hAnsi="Arial" w:cs="Arial"/>
          <w:b/>
          <w:bCs/>
          <w:sz w:val="22"/>
          <w:szCs w:val="24"/>
          <w:u w:val="single"/>
          <w:lang w:eastAsia="pt-BR"/>
        </w:rPr>
        <w:t>INICIATIVA PARLAMENTAR, QUE DISPÕE SOBRE PAGAMENTO DE DÉBITOS POR MEIO DE CARTÃO DE DÉBITO E CRÉDITO</w:t>
      </w:r>
      <w:r w:rsidRPr="00D049E4">
        <w:rPr>
          <w:rFonts w:ascii="Arial" w:eastAsia="Times New Roman" w:hAnsi="Arial" w:cs="Arial"/>
          <w:sz w:val="22"/>
          <w:szCs w:val="24"/>
          <w:lang w:eastAsia="pt-BR"/>
        </w:rPr>
        <w:t xml:space="preserve"> E DÁ OUTRAS PROVIDÊNCIAS. NORMA IMPUGNADA QUE DISPÕE SOBRE PAGAMENTO DE DÉBITOS TRIBUTÁRIOS, INSTITUINDO </w:t>
      </w:r>
      <w:r w:rsidRPr="00D049E4">
        <w:rPr>
          <w:rFonts w:ascii="Arial" w:eastAsia="Times New Roman" w:hAnsi="Arial" w:cs="Arial"/>
          <w:sz w:val="22"/>
          <w:szCs w:val="24"/>
          <w:lang w:eastAsia="pt-BR"/>
        </w:rPr>
        <w:lastRenderedPageBreak/>
        <w:t xml:space="preserve">NOVA FORMA DE EXTINGUI-LOS (ALÉM DAQUELAS JÁ PREVISTAS NO ARTIGO 162 DO CTN), OU SEJA, ATRAVÉS DE CARTÃO DE CRÉDITO OU DÉBITO. MATÉRIA TRIBUTÁRIA. COMPETÊNCIA CONCORRENTE. QUESTÃO DEFINIDA PELO C. SUPREMO TRIBUNAL FEDERAL, EM REGIME DE REPERCUSSÃO GERAL, COM FIXAÇÃO DA TESE Nº 682. PRECEDENTES DESTE C. ÓRGÃO ESPECIAL. AUSÊNCIA DE VIOLAÇÃO AO PRINCÍPIO DA SEPARAÇÃO DOS PODERES. (...)” </w:t>
      </w:r>
    </w:p>
    <w:p w:rsidR="00D049E4" w:rsidRDefault="00D049E4" w:rsidP="00D049E4">
      <w:pPr>
        <w:tabs>
          <w:tab w:val="left" w:pos="709"/>
          <w:tab w:val="left" w:pos="1418"/>
        </w:tabs>
        <w:autoSpaceDE w:val="0"/>
        <w:autoSpaceDN w:val="0"/>
        <w:spacing w:line="240" w:lineRule="auto"/>
        <w:ind w:left="2124"/>
        <w:jc w:val="both"/>
        <w:rPr>
          <w:rFonts w:ascii="Arial" w:eastAsia="Times New Roman" w:hAnsi="Arial" w:cs="Arial"/>
          <w:sz w:val="22"/>
          <w:szCs w:val="24"/>
          <w:lang w:eastAsia="pt-BR"/>
        </w:rPr>
      </w:pPr>
      <w:r w:rsidRPr="00D049E4">
        <w:rPr>
          <w:rFonts w:ascii="Arial" w:eastAsia="Times New Roman" w:hAnsi="Arial" w:cs="Arial"/>
          <w:sz w:val="22"/>
          <w:szCs w:val="24"/>
          <w:lang w:eastAsia="pt-BR"/>
        </w:rPr>
        <w:t>(TJSP; Direta de Inconstitucionalidade 2025313-94.2021.8.26.0000; Relator (a): Cristina Zucchi; Órgão Julgador: Órgão Especial; Tribunal de Justiça de São Paulo - N/A; Data do Julgamento: 01/09/2021; Data de Registro: 03/09/2021) </w:t>
      </w:r>
    </w:p>
    <w:p w:rsidR="00D049E4" w:rsidRDefault="00D049E4" w:rsidP="00D049E4">
      <w:pPr>
        <w:tabs>
          <w:tab w:val="left" w:pos="709"/>
          <w:tab w:val="left" w:pos="1418"/>
        </w:tabs>
        <w:autoSpaceDE w:val="0"/>
        <w:autoSpaceDN w:val="0"/>
        <w:spacing w:line="240" w:lineRule="auto"/>
        <w:ind w:left="2124"/>
        <w:jc w:val="both"/>
        <w:rPr>
          <w:rFonts w:ascii="Arial" w:eastAsia="Times New Roman" w:hAnsi="Arial" w:cs="Arial"/>
          <w:sz w:val="22"/>
          <w:szCs w:val="24"/>
          <w:lang w:eastAsia="pt-BR"/>
        </w:rPr>
      </w:pPr>
    </w:p>
    <w:p w:rsidR="00D049E4" w:rsidRDefault="00D049E4" w:rsidP="00D049E4">
      <w:pPr>
        <w:tabs>
          <w:tab w:val="left" w:pos="709"/>
          <w:tab w:val="left" w:pos="1418"/>
        </w:tabs>
        <w:autoSpaceDE w:val="0"/>
        <w:autoSpaceDN w:val="0"/>
        <w:spacing w:line="240" w:lineRule="auto"/>
        <w:ind w:left="2124"/>
        <w:jc w:val="both"/>
        <w:rPr>
          <w:rFonts w:ascii="Arial" w:eastAsia="Times New Roman" w:hAnsi="Arial" w:cs="Arial"/>
          <w:sz w:val="22"/>
          <w:szCs w:val="24"/>
          <w:lang w:eastAsia="pt-BR"/>
        </w:rPr>
      </w:pPr>
      <w:r w:rsidRPr="00D049E4">
        <w:rPr>
          <w:rFonts w:ascii="Arial" w:eastAsia="Times New Roman" w:hAnsi="Arial" w:cs="Arial"/>
          <w:sz w:val="22"/>
          <w:szCs w:val="24"/>
          <w:lang w:eastAsia="pt-BR"/>
        </w:rPr>
        <w:t>“AÇÃO DIRETA DE INCONSTITUCIONALIDADE - LEI MUNICIPAL Nº 2.717, DE 20 DE AGOSTO DE 2019, QUE </w:t>
      </w:r>
      <w:r w:rsidRPr="00D049E4">
        <w:rPr>
          <w:rFonts w:ascii="Arial" w:eastAsia="Times New Roman" w:hAnsi="Arial" w:cs="Arial"/>
          <w:b/>
          <w:bCs/>
          <w:sz w:val="22"/>
          <w:szCs w:val="24"/>
          <w:u w:val="single"/>
          <w:lang w:eastAsia="pt-BR"/>
        </w:rPr>
        <w:t>'DISPÕE SOBRE O RECEBIMENTO DE</w:t>
      </w:r>
      <w:r w:rsidRPr="00D049E4">
        <w:rPr>
          <w:rFonts w:ascii="Arial" w:eastAsia="Times New Roman" w:hAnsi="Arial" w:cs="Arial"/>
          <w:sz w:val="22"/>
          <w:szCs w:val="24"/>
          <w:lang w:eastAsia="pt-BR"/>
        </w:rPr>
        <w:t> RECEITAS E </w:t>
      </w:r>
      <w:r w:rsidRPr="00D049E4">
        <w:rPr>
          <w:rFonts w:ascii="Arial" w:eastAsia="Times New Roman" w:hAnsi="Arial" w:cs="Arial"/>
          <w:b/>
          <w:bCs/>
          <w:sz w:val="22"/>
          <w:szCs w:val="24"/>
          <w:u w:val="single"/>
          <w:lang w:eastAsia="pt-BR"/>
        </w:rPr>
        <w:t>TRIBUTOS PELO MUNICÍPIO</w:t>
      </w:r>
      <w:r w:rsidRPr="00D049E4">
        <w:rPr>
          <w:rFonts w:ascii="Arial" w:eastAsia="Times New Roman" w:hAnsi="Arial" w:cs="Arial"/>
          <w:sz w:val="22"/>
          <w:szCs w:val="24"/>
          <w:lang w:eastAsia="pt-BR"/>
        </w:rPr>
        <w:t> DE VOTORANTIM, </w:t>
      </w:r>
      <w:r w:rsidRPr="00D049E4">
        <w:rPr>
          <w:rFonts w:ascii="Arial" w:eastAsia="Times New Roman" w:hAnsi="Arial" w:cs="Arial"/>
          <w:b/>
          <w:bCs/>
          <w:sz w:val="22"/>
          <w:szCs w:val="24"/>
          <w:u w:val="single"/>
          <w:lang w:eastAsia="pt-BR"/>
        </w:rPr>
        <w:t>POR MEIO DE CARTÃO DE DÉBITO E CRÉDITO'</w:t>
      </w:r>
      <w:r w:rsidRPr="00D049E4">
        <w:rPr>
          <w:rFonts w:ascii="Arial" w:eastAsia="Times New Roman" w:hAnsi="Arial" w:cs="Arial"/>
          <w:sz w:val="22"/>
          <w:szCs w:val="24"/>
          <w:lang w:eastAsia="pt-BR"/>
        </w:rPr>
        <w:t> - </w:t>
      </w:r>
      <w:r w:rsidRPr="00D049E4">
        <w:rPr>
          <w:rFonts w:ascii="Arial" w:eastAsia="Times New Roman" w:hAnsi="Arial" w:cs="Arial"/>
          <w:b/>
          <w:bCs/>
          <w:sz w:val="22"/>
          <w:szCs w:val="24"/>
          <w:lang w:eastAsia="pt-BR"/>
        </w:rPr>
        <w:t>ATO NORMATIVO DE ORIGEM PARLAMENTAR QUE INSTITUIU NOVAS OPÇÕES PARA A EXTINÇÃO DO CRÉDITO TRIBUTÁRIO NA MODALIDADE PAGAMENTO, ALÉM DAQUELAS JÁ PREVISTAS NO ARTIGO 162 DO CÓDIGO TRIBUTÁRIO NACIONAL - COMPETÊNCIA CONCORRENTE PARA LEGISLAR SOBRE MATÉRIA TRIBUTÁRIA - TEMA 682 DA REPERCUSSÃO GERAL</w:t>
      </w:r>
      <w:r w:rsidRPr="00D049E4">
        <w:rPr>
          <w:rFonts w:ascii="Arial" w:eastAsia="Times New Roman" w:hAnsi="Arial" w:cs="Arial"/>
          <w:sz w:val="22"/>
          <w:szCs w:val="24"/>
          <w:lang w:eastAsia="pt-BR"/>
        </w:rPr>
        <w:t xml:space="preserve"> (ARE Nº 743.480 RG/MG) - RESSALVA, PORÉM, QUE DEVE SER FEITA EM RELAÇÃO AO RECEBIMENTO DE RECEITAS NÃO TRIBUTÁRIAS DO MUNICÍPIO - USURPAÇÃO DE COMPETÊNCIA ADMINISTRATIVA DO CHEFE DO PODER EXECUTIVO NO QUE DIZ RESPEITO À EXPRESSÃO 'E NÃO TRIBUTÁRIA' PREVISTA NO ARTIGO 1º, CAPUT, DA LEI Nº 2.717/2019 DO MUNICÍPIO DE VOTORANTIM - VIOLAÇÃO, NESSA PARTE, AOS PRINCÍPIOS DA SEPARAÇÃO DOS PODERES E DA RESERVA DE ADMINISTRAÇÃO - AFRONTA AOS ARTIGOS 5º, 47, INCISOS II, XIV E XIX, LETRA 'A', 144 E 159, PARÁGRAFO ÚNICO, TODOS DA CONSTITUIÇÃO ESTADUAL". "A disciplina normativa para dispor sobre novas opções para pagamento de tributos municipais está compreendida na competência legislativa concorrente da Câmara Municipal e do Prefeito, cuidando-se de assunto de interesse estritamente local (artigo 30, inciso I, da Carta da República), não se enquadrando em nenhuma das situações enumeradas pelo artigo 24, § 2º, da Constituição Bandeirante, cuja iniciativa legislativa é privativa do Chefe do Poder Executivo". "A ausência de dotação orçamentária apenas conduz à inexequibilidade da norma no ano em que foi aprovada, não traduzindo infringência ao disposto no artigo 25 da Constituição Estadual". </w:t>
      </w:r>
    </w:p>
    <w:p w:rsidR="00D049E4" w:rsidRPr="00D049E4" w:rsidRDefault="00D049E4" w:rsidP="00D049E4">
      <w:pPr>
        <w:tabs>
          <w:tab w:val="left" w:pos="709"/>
          <w:tab w:val="left" w:pos="1418"/>
        </w:tabs>
        <w:autoSpaceDE w:val="0"/>
        <w:autoSpaceDN w:val="0"/>
        <w:spacing w:line="240" w:lineRule="auto"/>
        <w:ind w:left="2124"/>
        <w:jc w:val="both"/>
        <w:rPr>
          <w:rFonts w:ascii="Arial" w:eastAsia="Times New Roman" w:hAnsi="Arial" w:cs="Arial"/>
          <w:sz w:val="22"/>
          <w:szCs w:val="24"/>
          <w:lang w:eastAsia="pt-BR"/>
        </w:rPr>
      </w:pPr>
      <w:r w:rsidRPr="00D049E4">
        <w:rPr>
          <w:rFonts w:ascii="Arial" w:eastAsia="Times New Roman" w:hAnsi="Arial" w:cs="Arial"/>
          <w:sz w:val="22"/>
          <w:szCs w:val="24"/>
          <w:lang w:eastAsia="pt-BR"/>
        </w:rPr>
        <w:t xml:space="preserve">(TJSP; Direta de Inconstitucionalidade 2238559-47.2019.8.26.0000; Relator (a): Renato Sartorelli; Órgão Julgador: Órgão Especial; Tribunal de Justiça de São Paulo - </w:t>
      </w:r>
      <w:r w:rsidRPr="00D049E4">
        <w:rPr>
          <w:rFonts w:ascii="Arial" w:eastAsia="Times New Roman" w:hAnsi="Arial" w:cs="Arial"/>
          <w:sz w:val="22"/>
          <w:szCs w:val="24"/>
          <w:lang w:eastAsia="pt-BR"/>
        </w:rPr>
        <w:lastRenderedPageBreak/>
        <w:t>N/A; Data do Julgamento: 04/03/2020; Data de Registro: 06/03/2020) </w:t>
      </w:r>
    </w:p>
    <w:p w:rsidR="00D049E4" w:rsidRDefault="00D049E4" w:rsidP="00D049E4">
      <w:pPr>
        <w:tabs>
          <w:tab w:val="left" w:pos="709"/>
          <w:tab w:val="left" w:pos="1418"/>
        </w:tabs>
        <w:autoSpaceDE w:val="0"/>
        <w:autoSpaceDN w:val="0"/>
        <w:spacing w:line="240" w:lineRule="auto"/>
        <w:jc w:val="both"/>
        <w:rPr>
          <w:rFonts w:ascii="Arial" w:eastAsia="Times New Roman" w:hAnsi="Arial" w:cs="Arial"/>
          <w:szCs w:val="24"/>
          <w:lang w:eastAsia="pt-BR"/>
        </w:rPr>
      </w:pPr>
    </w:p>
    <w:p w:rsidR="00D049E4" w:rsidRDefault="00D049E4" w:rsidP="00D049E4">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D049E4">
        <w:rPr>
          <w:rFonts w:ascii="Arial" w:eastAsia="Times New Roman" w:hAnsi="Arial" w:cs="Arial"/>
          <w:szCs w:val="24"/>
          <w:lang w:eastAsia="pt-BR"/>
        </w:rPr>
        <w:t>Nesse sentido, não se vislumbra óbice jurídico ao prosseguimento do projeto. Do mais, propositura formalmente em ordem, atendendo às normas regimentais vigentes.</w:t>
      </w:r>
    </w:p>
    <w:p w:rsidR="00D049E4" w:rsidRDefault="00D049E4" w:rsidP="005D6D7A">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p>
    <w:p w:rsidR="00D049E4" w:rsidRPr="006848DA" w:rsidRDefault="00D049E4" w:rsidP="005D6D7A">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Pr>
          <w:rFonts w:ascii="Arial" w:eastAsia="Times New Roman" w:hAnsi="Arial" w:cs="Arial"/>
          <w:szCs w:val="24"/>
          <w:lang w:eastAsia="pt-BR"/>
        </w:rPr>
        <w:t>Pela legalidade.</w:t>
      </w: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6848DA" w:rsidRDefault="005A178E"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w:t>
      </w:r>
      <w:r w:rsidRPr="006848DA">
        <w:rPr>
          <w:rFonts w:ascii="Arial" w:eastAsia="Times New Roman" w:hAnsi="Arial" w:cs="Arial"/>
          <w:szCs w:val="24"/>
          <w:lang w:eastAsia="pt-BR"/>
        </w:rPr>
        <w:t xml:space="preserve"> Comissão de Tributação, Finanças e Orçamento </w:t>
      </w:r>
      <w:r>
        <w:rPr>
          <w:rFonts w:ascii="Arial" w:eastAsia="Times New Roman" w:hAnsi="Arial" w:cs="Arial"/>
          <w:szCs w:val="24"/>
          <w:lang w:eastAsia="pt-BR"/>
        </w:rPr>
        <w:t>para manifestação</w:t>
      </w:r>
      <w:r w:rsidRPr="006848DA">
        <w:rPr>
          <w:rFonts w:ascii="Arial" w:eastAsia="Times New Roman" w:hAnsi="Arial" w:cs="Arial"/>
          <w:szCs w:val="24"/>
          <w:lang w:eastAsia="pt-BR"/>
        </w:rPr>
        <w:t>.</w:t>
      </w:r>
      <w:r>
        <w:rPr>
          <w:rFonts w:ascii="Arial" w:eastAsia="Times New Roman" w:hAnsi="Arial" w:cs="Arial"/>
          <w:szCs w:val="24"/>
          <w:lang w:eastAsia="pt-BR"/>
        </w:rPr>
        <w:t xml:space="preserve"> </w:t>
      </w:r>
    </w:p>
    <w:p w:rsidR="006848DA" w:rsidRPr="006848DA" w:rsidRDefault="005A178E" w:rsidP="00D049E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 xml:space="preserve"> </w:t>
      </w:r>
      <w:r w:rsidRPr="006848DA">
        <w:rPr>
          <w:rFonts w:ascii="Arial" w:eastAsia="Times New Roman" w:hAnsi="Arial" w:cs="Arial"/>
          <w:szCs w:val="24"/>
          <w:lang w:eastAsia="pt-BR"/>
        </w:rPr>
        <w:tab/>
      </w:r>
    </w:p>
    <w:p w:rsidR="006848DA" w:rsidRPr="006848DA" w:rsidRDefault="005A178E"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5A178E"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665AD2" w:rsidRPr="00665AD2">
        <w:rPr>
          <w:rFonts w:ascii="Arial" w:eastAsia="Times New Roman" w:hAnsi="Arial" w:cs="Arial"/>
          <w:bCs/>
          <w:szCs w:val="24"/>
          <w:lang w:eastAsia="pt-BR"/>
        </w:rPr>
        <w:t>25 de abril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5A178E"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5A178E" w:rsidP="00CF0CE2">
      <w:pPr>
        <w:spacing w:line="240" w:lineRule="auto"/>
        <w:jc w:val="center"/>
        <w:rPr>
          <w:rFonts w:ascii="Arial" w:hAnsi="Arial" w:cs="Arial"/>
          <w:b/>
          <w:bCs/>
          <w:szCs w:val="24"/>
        </w:rPr>
      </w:pPr>
      <w:r>
        <w:rPr>
          <w:rFonts w:ascii="Arial" w:hAnsi="Arial" w:cs="Arial"/>
          <w:b/>
          <w:bCs/>
          <w:szCs w:val="24"/>
        </w:rPr>
        <w:t>Dr. Lelo</w:t>
      </w:r>
    </w:p>
    <w:p w:rsidR="00CF0CE2" w:rsidRDefault="005A178E"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5A178E"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5A178E"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A939CC" w:rsidRPr="00A939CC" w:rsidRDefault="00A939CC" w:rsidP="00D07953">
      <w:pPr>
        <w:autoSpaceDE w:val="0"/>
        <w:autoSpaceDN w:val="0"/>
        <w:spacing w:line="240" w:lineRule="auto"/>
        <w:rPr>
          <w:rFonts w:ascii="Arial" w:eastAsia="Times New Roman" w:hAnsi="Arial" w:cs="Arial"/>
          <w:b/>
          <w:bCs/>
          <w:szCs w:val="24"/>
          <w:lang w:eastAsia="pt-BR"/>
        </w:rPr>
      </w:pPr>
      <w:bookmarkStart w:id="0" w:name="_GoBack"/>
      <w:bookmarkEnd w:id="0"/>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8B" w:rsidRDefault="0061568B">
      <w:pPr>
        <w:spacing w:line="240" w:lineRule="auto"/>
      </w:pPr>
      <w:r>
        <w:separator/>
      </w:r>
    </w:p>
  </w:endnote>
  <w:endnote w:type="continuationSeparator" w:id="0">
    <w:p w:rsidR="0061568B" w:rsidRDefault="00615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5A178E"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5A178E"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5A178E"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5A178E">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D07953">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D07953">
              <w:rPr>
                <w:rFonts w:asciiTheme="majorHAnsi" w:hAnsiTheme="majorHAnsi"/>
                <w:b/>
                <w:bCs/>
                <w:noProof/>
              </w:rPr>
              <w:t>3</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8B" w:rsidRDefault="0061568B">
      <w:pPr>
        <w:spacing w:line="240" w:lineRule="auto"/>
      </w:pPr>
      <w:r>
        <w:separator/>
      </w:r>
    </w:p>
  </w:footnote>
  <w:footnote w:type="continuationSeparator" w:id="0">
    <w:p w:rsidR="0061568B" w:rsidRDefault="006156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5A178E"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4194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5A178E"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431E5C42">
      <w:start w:val="1"/>
      <w:numFmt w:val="lowerLetter"/>
      <w:lvlText w:val="%1)"/>
      <w:lvlJc w:val="left"/>
      <w:pPr>
        <w:ind w:left="720" w:hanging="360"/>
      </w:pPr>
      <w:rPr>
        <w:rFonts w:hint="default"/>
      </w:rPr>
    </w:lvl>
    <w:lvl w:ilvl="1" w:tplc="AD2630D6" w:tentative="1">
      <w:start w:val="1"/>
      <w:numFmt w:val="lowerLetter"/>
      <w:lvlText w:val="%2."/>
      <w:lvlJc w:val="left"/>
      <w:pPr>
        <w:ind w:left="1440" w:hanging="360"/>
      </w:pPr>
    </w:lvl>
    <w:lvl w:ilvl="2" w:tplc="D5F0EC54" w:tentative="1">
      <w:start w:val="1"/>
      <w:numFmt w:val="lowerRoman"/>
      <w:lvlText w:val="%3."/>
      <w:lvlJc w:val="right"/>
      <w:pPr>
        <w:ind w:left="2160" w:hanging="180"/>
      </w:pPr>
    </w:lvl>
    <w:lvl w:ilvl="3" w:tplc="0C100932" w:tentative="1">
      <w:start w:val="1"/>
      <w:numFmt w:val="decimal"/>
      <w:lvlText w:val="%4."/>
      <w:lvlJc w:val="left"/>
      <w:pPr>
        <w:ind w:left="2880" w:hanging="360"/>
      </w:pPr>
    </w:lvl>
    <w:lvl w:ilvl="4" w:tplc="3AB8ED42" w:tentative="1">
      <w:start w:val="1"/>
      <w:numFmt w:val="lowerLetter"/>
      <w:lvlText w:val="%5."/>
      <w:lvlJc w:val="left"/>
      <w:pPr>
        <w:ind w:left="3600" w:hanging="360"/>
      </w:pPr>
    </w:lvl>
    <w:lvl w:ilvl="5" w:tplc="A152551A" w:tentative="1">
      <w:start w:val="1"/>
      <w:numFmt w:val="lowerRoman"/>
      <w:lvlText w:val="%6."/>
      <w:lvlJc w:val="right"/>
      <w:pPr>
        <w:ind w:left="4320" w:hanging="180"/>
      </w:pPr>
    </w:lvl>
    <w:lvl w:ilvl="6" w:tplc="21A41866" w:tentative="1">
      <w:start w:val="1"/>
      <w:numFmt w:val="decimal"/>
      <w:lvlText w:val="%7."/>
      <w:lvlJc w:val="left"/>
      <w:pPr>
        <w:ind w:left="5040" w:hanging="360"/>
      </w:pPr>
    </w:lvl>
    <w:lvl w:ilvl="7" w:tplc="7A2EDB96" w:tentative="1">
      <w:start w:val="1"/>
      <w:numFmt w:val="lowerLetter"/>
      <w:lvlText w:val="%8."/>
      <w:lvlJc w:val="left"/>
      <w:pPr>
        <w:ind w:left="5760" w:hanging="360"/>
      </w:pPr>
    </w:lvl>
    <w:lvl w:ilvl="8" w:tplc="C0A27C0C" w:tentative="1">
      <w:start w:val="1"/>
      <w:numFmt w:val="lowerRoman"/>
      <w:lvlText w:val="%9."/>
      <w:lvlJc w:val="right"/>
      <w:pPr>
        <w:ind w:left="6480" w:hanging="180"/>
      </w:pPr>
    </w:lvl>
  </w:abstractNum>
  <w:abstractNum w:abstractNumId="1">
    <w:nsid w:val="660805D8"/>
    <w:multiLevelType w:val="hybridMultilevel"/>
    <w:tmpl w:val="41EA025E"/>
    <w:lvl w:ilvl="0" w:tplc="D3CE2708">
      <w:start w:val="1"/>
      <w:numFmt w:val="lowerLetter"/>
      <w:lvlText w:val="%1)"/>
      <w:lvlJc w:val="left"/>
      <w:pPr>
        <w:ind w:left="410" w:hanging="360"/>
      </w:pPr>
      <w:rPr>
        <w:rFonts w:hint="default"/>
      </w:rPr>
    </w:lvl>
    <w:lvl w:ilvl="1" w:tplc="E2CE73B4" w:tentative="1">
      <w:start w:val="1"/>
      <w:numFmt w:val="lowerLetter"/>
      <w:lvlText w:val="%2."/>
      <w:lvlJc w:val="left"/>
      <w:pPr>
        <w:ind w:left="1130" w:hanging="360"/>
      </w:pPr>
    </w:lvl>
    <w:lvl w:ilvl="2" w:tplc="5A62DD24" w:tentative="1">
      <w:start w:val="1"/>
      <w:numFmt w:val="lowerRoman"/>
      <w:lvlText w:val="%3."/>
      <w:lvlJc w:val="right"/>
      <w:pPr>
        <w:ind w:left="1850" w:hanging="180"/>
      </w:pPr>
    </w:lvl>
    <w:lvl w:ilvl="3" w:tplc="687CD584" w:tentative="1">
      <w:start w:val="1"/>
      <w:numFmt w:val="decimal"/>
      <w:lvlText w:val="%4."/>
      <w:lvlJc w:val="left"/>
      <w:pPr>
        <w:ind w:left="2570" w:hanging="360"/>
      </w:pPr>
    </w:lvl>
    <w:lvl w:ilvl="4" w:tplc="C9A438EC" w:tentative="1">
      <w:start w:val="1"/>
      <w:numFmt w:val="lowerLetter"/>
      <w:lvlText w:val="%5."/>
      <w:lvlJc w:val="left"/>
      <w:pPr>
        <w:ind w:left="3290" w:hanging="360"/>
      </w:pPr>
    </w:lvl>
    <w:lvl w:ilvl="5" w:tplc="1962498E" w:tentative="1">
      <w:start w:val="1"/>
      <w:numFmt w:val="lowerRoman"/>
      <w:lvlText w:val="%6."/>
      <w:lvlJc w:val="right"/>
      <w:pPr>
        <w:ind w:left="4010" w:hanging="180"/>
      </w:pPr>
    </w:lvl>
    <w:lvl w:ilvl="6" w:tplc="5BC64856" w:tentative="1">
      <w:start w:val="1"/>
      <w:numFmt w:val="decimal"/>
      <w:lvlText w:val="%7."/>
      <w:lvlJc w:val="left"/>
      <w:pPr>
        <w:ind w:left="4730" w:hanging="360"/>
      </w:pPr>
    </w:lvl>
    <w:lvl w:ilvl="7" w:tplc="7AD252A4" w:tentative="1">
      <w:start w:val="1"/>
      <w:numFmt w:val="lowerLetter"/>
      <w:lvlText w:val="%8."/>
      <w:lvlJc w:val="left"/>
      <w:pPr>
        <w:ind w:left="5450" w:hanging="360"/>
      </w:pPr>
    </w:lvl>
    <w:lvl w:ilvl="8" w:tplc="DFA08994" w:tentative="1">
      <w:start w:val="1"/>
      <w:numFmt w:val="lowerRoman"/>
      <w:lvlText w:val="%9."/>
      <w:lvlJc w:val="right"/>
      <w:pPr>
        <w:ind w:left="6170" w:hanging="180"/>
      </w:pPr>
    </w:lvl>
  </w:abstractNum>
  <w:abstractNum w:abstractNumId="2">
    <w:nsid w:val="6E451FD0"/>
    <w:multiLevelType w:val="hybridMultilevel"/>
    <w:tmpl w:val="3E84BF56"/>
    <w:lvl w:ilvl="0" w:tplc="D3B440E4">
      <w:start w:val="1"/>
      <w:numFmt w:val="decimal"/>
      <w:lvlText w:val="%1."/>
      <w:lvlJc w:val="left"/>
      <w:pPr>
        <w:ind w:left="770" w:hanging="360"/>
      </w:pPr>
    </w:lvl>
    <w:lvl w:ilvl="1" w:tplc="F28460AC" w:tentative="1">
      <w:start w:val="1"/>
      <w:numFmt w:val="lowerLetter"/>
      <w:lvlText w:val="%2."/>
      <w:lvlJc w:val="left"/>
      <w:pPr>
        <w:ind w:left="1490" w:hanging="360"/>
      </w:pPr>
    </w:lvl>
    <w:lvl w:ilvl="2" w:tplc="091CEE0E" w:tentative="1">
      <w:start w:val="1"/>
      <w:numFmt w:val="lowerRoman"/>
      <w:lvlText w:val="%3."/>
      <w:lvlJc w:val="right"/>
      <w:pPr>
        <w:ind w:left="2210" w:hanging="180"/>
      </w:pPr>
    </w:lvl>
    <w:lvl w:ilvl="3" w:tplc="483C75BA" w:tentative="1">
      <w:start w:val="1"/>
      <w:numFmt w:val="decimal"/>
      <w:lvlText w:val="%4."/>
      <w:lvlJc w:val="left"/>
      <w:pPr>
        <w:ind w:left="2930" w:hanging="360"/>
      </w:pPr>
    </w:lvl>
    <w:lvl w:ilvl="4" w:tplc="DE8645A0" w:tentative="1">
      <w:start w:val="1"/>
      <w:numFmt w:val="lowerLetter"/>
      <w:lvlText w:val="%5."/>
      <w:lvlJc w:val="left"/>
      <w:pPr>
        <w:ind w:left="3650" w:hanging="360"/>
      </w:pPr>
    </w:lvl>
    <w:lvl w:ilvl="5" w:tplc="6F4667D0" w:tentative="1">
      <w:start w:val="1"/>
      <w:numFmt w:val="lowerRoman"/>
      <w:lvlText w:val="%6."/>
      <w:lvlJc w:val="right"/>
      <w:pPr>
        <w:ind w:left="4370" w:hanging="180"/>
      </w:pPr>
    </w:lvl>
    <w:lvl w:ilvl="6" w:tplc="12545C86" w:tentative="1">
      <w:start w:val="1"/>
      <w:numFmt w:val="decimal"/>
      <w:lvlText w:val="%7."/>
      <w:lvlJc w:val="left"/>
      <w:pPr>
        <w:ind w:left="5090" w:hanging="360"/>
      </w:pPr>
    </w:lvl>
    <w:lvl w:ilvl="7" w:tplc="05C6F4E0" w:tentative="1">
      <w:start w:val="1"/>
      <w:numFmt w:val="lowerLetter"/>
      <w:lvlText w:val="%8."/>
      <w:lvlJc w:val="left"/>
      <w:pPr>
        <w:ind w:left="5810" w:hanging="360"/>
      </w:pPr>
    </w:lvl>
    <w:lvl w:ilvl="8" w:tplc="E5ACB7B4"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578D3"/>
    <w:rsid w:val="003651BB"/>
    <w:rsid w:val="00375815"/>
    <w:rsid w:val="003765B5"/>
    <w:rsid w:val="00381BD9"/>
    <w:rsid w:val="003A6E53"/>
    <w:rsid w:val="003D15E5"/>
    <w:rsid w:val="003D339F"/>
    <w:rsid w:val="003D5DF3"/>
    <w:rsid w:val="003E2A88"/>
    <w:rsid w:val="003E53DF"/>
    <w:rsid w:val="003E7155"/>
    <w:rsid w:val="003F57F3"/>
    <w:rsid w:val="0040142F"/>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78E"/>
    <w:rsid w:val="005A1965"/>
    <w:rsid w:val="005A48D1"/>
    <w:rsid w:val="005A55EA"/>
    <w:rsid w:val="005A5C82"/>
    <w:rsid w:val="005C0AD2"/>
    <w:rsid w:val="005C6FFB"/>
    <w:rsid w:val="005C7890"/>
    <w:rsid w:val="005D4CB8"/>
    <w:rsid w:val="005D6D7A"/>
    <w:rsid w:val="005E41CD"/>
    <w:rsid w:val="005E56F1"/>
    <w:rsid w:val="005E5D0B"/>
    <w:rsid w:val="005E689B"/>
    <w:rsid w:val="005E6CA5"/>
    <w:rsid w:val="005F47F9"/>
    <w:rsid w:val="005F4B2B"/>
    <w:rsid w:val="005F4BA3"/>
    <w:rsid w:val="005F6B3E"/>
    <w:rsid w:val="006112CC"/>
    <w:rsid w:val="0061568B"/>
    <w:rsid w:val="00624A5E"/>
    <w:rsid w:val="00625E87"/>
    <w:rsid w:val="006302CD"/>
    <w:rsid w:val="00630B5A"/>
    <w:rsid w:val="006338C7"/>
    <w:rsid w:val="00634197"/>
    <w:rsid w:val="0063523E"/>
    <w:rsid w:val="00635F14"/>
    <w:rsid w:val="00642028"/>
    <w:rsid w:val="00646022"/>
    <w:rsid w:val="006578A9"/>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39AE"/>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16E60"/>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049E4"/>
    <w:rsid w:val="00D07953"/>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757D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64F8-A71C-4F34-BC23-04D86524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814</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35</cp:revision>
  <cp:lastPrinted>2018-06-08T17:01:00Z</cp:lastPrinted>
  <dcterms:created xsi:type="dcterms:W3CDTF">2019-01-29T17:14:00Z</dcterms:created>
  <dcterms:modified xsi:type="dcterms:W3CDTF">2025-04-25T14:59:00Z</dcterms:modified>
</cp:coreProperties>
</file>