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188/2020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143/2020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R$ 3.860.136,00 (três milhões, oitocentos e sessenta mil, cento e trinta e seis reais), para atender às despesas com a Secretaria Municipal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956" w:rsidRDefault="00ED2956" w:rsidP="00126850">
      <w:pPr>
        <w:spacing w:line="240" w:lineRule="auto"/>
      </w:pPr>
      <w:r>
        <w:separator/>
      </w:r>
    </w:p>
  </w:endnote>
  <w:endnote w:type="continuationSeparator" w:id="0">
    <w:p w:rsidR="00ED2956" w:rsidRDefault="00ED295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6591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6591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956" w:rsidRDefault="00ED2956" w:rsidP="00126850">
      <w:pPr>
        <w:spacing w:line="240" w:lineRule="auto"/>
      </w:pPr>
      <w:r>
        <w:separator/>
      </w:r>
    </w:p>
  </w:footnote>
  <w:footnote w:type="continuationSeparator" w:id="0">
    <w:p w:rsidR="00ED2956" w:rsidRDefault="00ED295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65913"/>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956"/>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2187F-C712-483F-995B-321664582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999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2020-06-18T19:59:00Z</dcterms:modified>
</cp:coreProperties>
</file>