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123/2020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94/2020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Reformula o Programa de Amparo à Cultura (PAC), consistente em incentivos para a realização de projetos culturais e a ser operacionalizado pela Fundação de Arte e Cultura do Município de Araraquara (FUNDART),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A29F4" w:rsidRDefault="003A29F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A29F4" w:rsidRPr="001B5DD7" w:rsidRDefault="003A29F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Cultura, Esportes, Comunicação e Proteção ao Consumidor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EB5" w:rsidRDefault="00726EB5" w:rsidP="00126850">
      <w:pPr>
        <w:spacing w:line="240" w:lineRule="auto"/>
      </w:pPr>
      <w:r>
        <w:separator/>
      </w:r>
    </w:p>
  </w:endnote>
  <w:endnote w:type="continuationSeparator" w:id="0">
    <w:p w:rsidR="00726EB5" w:rsidRDefault="00726EB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A29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A29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EB5" w:rsidRDefault="00726EB5" w:rsidP="00126850">
      <w:pPr>
        <w:spacing w:line="240" w:lineRule="auto"/>
      </w:pPr>
      <w:r>
        <w:separator/>
      </w:r>
    </w:p>
  </w:footnote>
  <w:footnote w:type="continuationSeparator" w:id="0">
    <w:p w:rsidR="00726EB5" w:rsidRDefault="00726EB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29F4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26EB5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DE33F-736E-4008-B7B8-0A2904AB0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2020-03-13T12:25:00Z</dcterms:modified>
</cp:coreProperties>
</file>