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no valor de R$ 53.299.372,03 (cinquenta e três milhões, duzentos e noventa e nove mil, trezentos e setenta e dois reais e três centavos), para modernizar, expandir e melhorar a eficiência da rede de iluminação pública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0AA" w:rsidRDefault="009A70AA" w:rsidP="00126850">
      <w:pPr>
        <w:spacing w:line="240" w:lineRule="auto"/>
      </w:pPr>
      <w:r>
        <w:separator/>
      </w:r>
    </w:p>
  </w:endnote>
  <w:endnote w:type="continuationSeparator" w:id="0">
    <w:p w:rsidR="009A70AA" w:rsidRDefault="009A70A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924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9249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0AA" w:rsidRDefault="009A70AA" w:rsidP="00126850">
      <w:pPr>
        <w:spacing w:line="240" w:lineRule="auto"/>
      </w:pPr>
      <w:r>
        <w:separator/>
      </w:r>
    </w:p>
  </w:footnote>
  <w:footnote w:type="continuationSeparator" w:id="0">
    <w:p w:rsidR="009A70AA" w:rsidRDefault="009A70A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A70A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2496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1D51E-0707-45B5-B04D-6D6BA6D5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2020-03-13T12:11:00Z</dcterms:modified>
</cp:coreProperties>
</file>