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no valor de R$ 12.000.000,00 (doze milhões de reais), para a execução de reformas e adequações em espaços públicos,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39C" w:rsidRDefault="001E039C" w:rsidP="00126850">
      <w:pPr>
        <w:spacing w:line="240" w:lineRule="auto"/>
      </w:pPr>
      <w:r>
        <w:separator/>
      </w:r>
    </w:p>
  </w:endnote>
  <w:endnote w:type="continuationSeparator" w:id="0">
    <w:p w:rsidR="001E039C" w:rsidRDefault="001E039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59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59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39C" w:rsidRDefault="001E039C" w:rsidP="00126850">
      <w:pPr>
        <w:spacing w:line="240" w:lineRule="auto"/>
      </w:pPr>
      <w:r>
        <w:separator/>
      </w:r>
    </w:p>
  </w:footnote>
  <w:footnote w:type="continuationSeparator" w:id="0">
    <w:p w:rsidR="001E039C" w:rsidRDefault="001E039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039C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59E9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84313-1CAE-42E7-9D9D-3DB3EF28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2020-03-13T12:12:00Z</dcterms:modified>
</cp:coreProperties>
</file>