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R$ 53.299.372,03 (cinquenta e três milhões, duzentos e noventa e nove mil, trezentos e setenta e dois reais e três centavos), para modernização, expansão e melhoria de eficiência da rede de iluminação pública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5951" w:rsidRDefault="00385951" w:rsidP="0038595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obtenção de empréstimos e operações de crédito, bem como a forma e os meios de pagamento (artigo 21, inciso IV,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C5A" w:rsidRDefault="00A17C5A" w:rsidP="00126850">
      <w:pPr>
        <w:spacing w:line="240" w:lineRule="auto"/>
      </w:pPr>
      <w:r>
        <w:separator/>
      </w:r>
    </w:p>
  </w:endnote>
  <w:endnote w:type="continuationSeparator" w:id="0">
    <w:p w:rsidR="00A17C5A" w:rsidRDefault="00A17C5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59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59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C5A" w:rsidRDefault="00A17C5A" w:rsidP="00126850">
      <w:pPr>
        <w:spacing w:line="240" w:lineRule="auto"/>
      </w:pPr>
      <w:r>
        <w:separator/>
      </w:r>
    </w:p>
  </w:footnote>
  <w:footnote w:type="continuationSeparator" w:id="0">
    <w:p w:rsidR="00A17C5A" w:rsidRDefault="00A17C5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95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17C5A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59A9-8F15-462B-B495-2D28F8C7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2020-02-13T18:58:00Z</dcterms:modified>
</cp:coreProperties>
</file>