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R$ 346.196,51 (trezentos e quarenta e seis mil, cento e noventa e seis reais e cinquenta e um centavos), para investimentos em recapeamento asfáltico no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E7E" w:rsidRDefault="00502E7E" w:rsidP="00126850">
      <w:pPr>
        <w:spacing w:line="240" w:lineRule="auto"/>
      </w:pPr>
      <w:r>
        <w:separator/>
      </w:r>
    </w:p>
  </w:endnote>
  <w:endnote w:type="continuationSeparator" w:id="0">
    <w:p w:rsidR="00502E7E" w:rsidRDefault="00502E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17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17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E7E" w:rsidRDefault="00502E7E" w:rsidP="00126850">
      <w:pPr>
        <w:spacing w:line="240" w:lineRule="auto"/>
      </w:pPr>
      <w:r>
        <w:separator/>
      </w:r>
    </w:p>
  </w:footnote>
  <w:footnote w:type="continuationSeparator" w:id="0">
    <w:p w:rsidR="00502E7E" w:rsidRDefault="00502E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17CA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2E7E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99AB6-EE91-483A-90B7-F4641936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2020-02-06T15:31:00Z</dcterms:modified>
</cp:coreProperties>
</file>