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8D5599">
        <w:trPr>
          <w:trHeight w:val="210"/>
        </w:trPr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R$ 100.000,00 (cem mil reais), à entidade Lar da Criança Renascer, para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736" w:rsidRDefault="00171736" w:rsidP="00126850">
      <w:pPr>
        <w:spacing w:line="240" w:lineRule="auto"/>
      </w:pPr>
      <w:r>
        <w:separator/>
      </w:r>
    </w:p>
  </w:endnote>
  <w:endnote w:type="continuationSeparator" w:id="0">
    <w:p w:rsidR="00171736" w:rsidRDefault="0017173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55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55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736" w:rsidRDefault="00171736" w:rsidP="00126850">
      <w:pPr>
        <w:spacing w:line="240" w:lineRule="auto"/>
      </w:pPr>
      <w:r>
        <w:separator/>
      </w:r>
    </w:p>
  </w:footnote>
  <w:footnote w:type="continuationSeparator" w:id="0">
    <w:p w:rsidR="00171736" w:rsidRDefault="0017173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173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D5599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B7D9E-8104-41F6-8D9B-A776D65C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2020-02-06T15:29:00Z</dcterms:modified>
</cp:coreProperties>
</file>