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R$ 100.000,00 (cem mil reais), para fins de custeio de despesa de proteção social especial – piso de alta complexidade, tendo como beneficiária a entidade Lar da Criança Renascer,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6BE" w:rsidRDefault="008866BE" w:rsidP="00126850">
      <w:pPr>
        <w:spacing w:line="240" w:lineRule="auto"/>
      </w:pPr>
      <w:r>
        <w:separator/>
      </w:r>
    </w:p>
  </w:endnote>
  <w:endnote w:type="continuationSeparator" w:id="0">
    <w:p w:rsidR="008866BE" w:rsidRDefault="008866B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678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678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6BE" w:rsidRDefault="008866BE" w:rsidP="00126850">
      <w:pPr>
        <w:spacing w:line="240" w:lineRule="auto"/>
      </w:pPr>
      <w:r>
        <w:separator/>
      </w:r>
    </w:p>
  </w:footnote>
  <w:footnote w:type="continuationSeparator" w:id="0">
    <w:p w:rsidR="008866BE" w:rsidRDefault="008866B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6B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B6789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EAEDA-5A33-4B8E-A7DC-74B822ACB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2020-02-06T15:30:00Z</dcterms:modified>
</cp:coreProperties>
</file>