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64/2020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subvenção social, até o valor de R$ 100.000,00 (cem mil reais), à entidade Lar da Criança Renascer, para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FAA" w:rsidRDefault="00C45FAA" w:rsidP="00126850">
      <w:pPr>
        <w:spacing w:line="240" w:lineRule="auto"/>
      </w:pPr>
      <w:r>
        <w:separator/>
      </w:r>
    </w:p>
  </w:endnote>
  <w:endnote w:type="continuationSeparator" w:id="0">
    <w:p w:rsidR="00C45FAA" w:rsidRDefault="00C45FA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4783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4783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FAA" w:rsidRDefault="00C45FAA" w:rsidP="00126850">
      <w:pPr>
        <w:spacing w:line="240" w:lineRule="auto"/>
      </w:pPr>
      <w:r>
        <w:separator/>
      </w:r>
    </w:p>
  </w:footnote>
  <w:footnote w:type="continuationSeparator" w:id="0">
    <w:p w:rsidR="00C45FAA" w:rsidRDefault="00C45FA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783D"/>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45FAA"/>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57A13-CF68-4B75-A0E3-87AD80BB9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991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2020-02-06T15:28:00Z</dcterms:modified>
</cp:coreProperties>
</file>