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fins de custeio de despesa de proteção social especial – piso de alta complexidade, tendo como beneficiária a entidade Lar da Criança Renascer,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575" w:rsidRDefault="00222575" w:rsidP="00126850">
      <w:pPr>
        <w:spacing w:line="240" w:lineRule="auto"/>
      </w:pPr>
      <w:r>
        <w:separator/>
      </w:r>
    </w:p>
  </w:endnote>
  <w:endnote w:type="continuationSeparator" w:id="0">
    <w:p w:rsidR="00222575" w:rsidRDefault="002225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23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23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575" w:rsidRDefault="00222575" w:rsidP="00126850">
      <w:pPr>
        <w:spacing w:line="240" w:lineRule="auto"/>
      </w:pPr>
      <w:r>
        <w:separator/>
      </w:r>
    </w:p>
  </w:footnote>
  <w:footnote w:type="continuationSeparator" w:id="0">
    <w:p w:rsidR="00222575" w:rsidRDefault="002225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2575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2302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350F6-9A22-43F6-A90C-6B9449FA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2020-02-06T15:30:00Z</dcterms:modified>
</cp:coreProperties>
</file>