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52/2020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69/2020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R$ 346.196,51 (trezentos e quarenta e seis mil, cento e noventa e seis reais e cinquenta e um centavos), para investimentos em recapeamento asfáltico no Município,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4B4" w:rsidRDefault="00F144B4" w:rsidP="00126850">
      <w:pPr>
        <w:spacing w:line="240" w:lineRule="auto"/>
      </w:pPr>
      <w:r>
        <w:separator/>
      </w:r>
    </w:p>
  </w:endnote>
  <w:endnote w:type="continuationSeparator" w:id="0">
    <w:p w:rsidR="00F144B4" w:rsidRDefault="00F144B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B690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B690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4B4" w:rsidRDefault="00F144B4" w:rsidP="00126850">
      <w:pPr>
        <w:spacing w:line="240" w:lineRule="auto"/>
      </w:pPr>
      <w:r>
        <w:separator/>
      </w:r>
    </w:p>
  </w:footnote>
  <w:footnote w:type="continuationSeparator" w:id="0">
    <w:p w:rsidR="00F144B4" w:rsidRDefault="00F144B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B690C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44B4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F23FA-14A3-430E-85D9-D26BBE51B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2020-02-06T15:31:00Z</dcterms:modified>
</cp:coreProperties>
</file>