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55/2020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72/2020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R$ 632.400,00 (seiscentos e trinta e dois mil e quatrocentos reais), para atender a manutenção das Unidades Básicas de Saúde,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B3E" w:rsidRDefault="007F3B3E" w:rsidP="00126850">
      <w:pPr>
        <w:spacing w:line="240" w:lineRule="auto"/>
      </w:pPr>
      <w:r>
        <w:separator/>
      </w:r>
    </w:p>
  </w:endnote>
  <w:endnote w:type="continuationSeparator" w:id="0">
    <w:p w:rsidR="007F3B3E" w:rsidRDefault="007F3B3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4024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4024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B3E" w:rsidRDefault="007F3B3E" w:rsidP="00126850">
      <w:pPr>
        <w:spacing w:line="240" w:lineRule="auto"/>
      </w:pPr>
      <w:r>
        <w:separator/>
      </w:r>
    </w:p>
  </w:footnote>
  <w:footnote w:type="continuationSeparator" w:id="0">
    <w:p w:rsidR="007F3B3E" w:rsidRDefault="007F3B3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B3E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24C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56D1E-91C4-4CBE-98DE-DC9CBC158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2020-02-06T15:33:00Z</dcterms:modified>
</cp:coreProperties>
</file>