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6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73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05.400,00 (cento e cinco mil e quatrocentos reais), para atender a manutenção das Unidades Básicas de Saúde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76D" w:rsidRDefault="00B8176D" w:rsidP="00126850">
      <w:pPr>
        <w:spacing w:line="240" w:lineRule="auto"/>
      </w:pPr>
      <w:r>
        <w:separator/>
      </w:r>
    </w:p>
  </w:endnote>
  <w:endnote w:type="continuationSeparator" w:id="0">
    <w:p w:rsidR="00B8176D" w:rsidRDefault="00B8176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07AB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07AB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76D" w:rsidRDefault="00B8176D" w:rsidP="00126850">
      <w:pPr>
        <w:spacing w:line="240" w:lineRule="auto"/>
      </w:pPr>
      <w:r>
        <w:separator/>
      </w:r>
    </w:p>
  </w:footnote>
  <w:footnote w:type="continuationSeparator" w:id="0">
    <w:p w:rsidR="00B8176D" w:rsidRDefault="00B8176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07AB3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176D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AD26B-6C25-4B9E-9396-38C842C4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2-06T15:34:00Z</dcterms:modified>
</cp:coreProperties>
</file>