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58/2020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75/2020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R$ 276.760,87 (duzentos e setenta e seis mil, setecentos e sessenta reais e oitenta e sete centavos), para atender a manutenção das Unidades Básicas de Saúde,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4A6" w:rsidRDefault="00CD14A6" w:rsidP="00126850">
      <w:pPr>
        <w:spacing w:line="240" w:lineRule="auto"/>
      </w:pPr>
      <w:r>
        <w:separator/>
      </w:r>
    </w:p>
  </w:endnote>
  <w:endnote w:type="continuationSeparator" w:id="0">
    <w:p w:rsidR="00CD14A6" w:rsidRDefault="00CD14A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D228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D228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4A6" w:rsidRDefault="00CD14A6" w:rsidP="00126850">
      <w:pPr>
        <w:spacing w:line="240" w:lineRule="auto"/>
      </w:pPr>
      <w:r>
        <w:separator/>
      </w:r>
    </w:p>
  </w:footnote>
  <w:footnote w:type="continuationSeparator" w:id="0">
    <w:p w:rsidR="00CD14A6" w:rsidRDefault="00CD14A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2282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D14A6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29093-687D-4417-A8F1-004B5521D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2020-02-06T15:35:00Z</dcterms:modified>
</cp:coreProperties>
</file>