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JULIANA ANDRIÃO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Rua Victória Carolina de Almeida a via pública da sede do Município conhecida como Rua "A" do loteamento Residencial Monte Carlo, com início na propriedade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Fuad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Haddad, Samira Haddad 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Lais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Dagli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Haddad e término na Avenida “J”, deste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E30" w:rsidRDefault="00AF1E30" w:rsidP="00126850">
      <w:pPr>
        <w:spacing w:line="240" w:lineRule="auto"/>
      </w:pPr>
      <w:r>
        <w:separator/>
      </w:r>
    </w:p>
  </w:endnote>
  <w:endnote w:type="continuationSeparator" w:id="0">
    <w:p w:rsidR="00AF1E30" w:rsidRDefault="00AF1E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46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46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E30" w:rsidRDefault="00AF1E30" w:rsidP="00126850">
      <w:pPr>
        <w:spacing w:line="240" w:lineRule="auto"/>
      </w:pPr>
      <w:r>
        <w:separator/>
      </w:r>
    </w:p>
  </w:footnote>
  <w:footnote w:type="continuationSeparator" w:id="0">
    <w:p w:rsidR="00AF1E30" w:rsidRDefault="00AF1E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1E30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6FC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F871-8529-4730-8E07-C985C734B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2020-02-06T12:08:00Z</dcterms:modified>
</cp:coreProperties>
</file>