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Reconhece, nos termos e condições que especifica, que a propriedade do imóvel objeto da Matrícula nº 22.524, autuada no Livro nº 2 – Registro Geral, do Segundo Cartório de Registro de Imóveis da Comarca de Araraquara, é do município de Gavião Peixoto.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47B" w:rsidRDefault="0062347B" w:rsidP="00126850">
      <w:pPr>
        <w:spacing w:line="240" w:lineRule="auto"/>
      </w:pPr>
      <w:r>
        <w:separator/>
      </w:r>
    </w:p>
  </w:endnote>
  <w:endnote w:type="continuationSeparator" w:id="0">
    <w:p w:rsidR="0062347B" w:rsidRDefault="0062347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912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912C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47B" w:rsidRDefault="0062347B" w:rsidP="00126850">
      <w:pPr>
        <w:spacing w:line="240" w:lineRule="auto"/>
      </w:pPr>
      <w:r>
        <w:separator/>
      </w:r>
    </w:p>
  </w:footnote>
  <w:footnote w:type="continuationSeparator" w:id="0">
    <w:p w:rsidR="0062347B" w:rsidRDefault="0062347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12CC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347B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17C9-DB7A-4EFD-B77A-28C22D04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2020-01-30T18:45:00Z</dcterms:modified>
</cp:coreProperties>
</file>