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E22D0D">
        <w:rPr>
          <w:rFonts w:ascii="Arial" w:eastAsia="Times New Roman" w:hAnsi="Arial" w:cs="Arial"/>
          <w:szCs w:val="24"/>
          <w:lang w:eastAsia="pt-BR"/>
        </w:rPr>
        <w:t>1</w:t>
      </w:r>
      <w:r w:rsidR="009E1E9C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9E1E9C">
        <w:rPr>
          <w:rFonts w:ascii="Arial" w:eastAsia="Times New Roman" w:hAnsi="Arial" w:cs="Arial"/>
          <w:szCs w:val="24"/>
          <w:lang w:eastAsia="pt-BR"/>
        </w:rPr>
        <w:t>novem</w:t>
      </w:r>
      <w:r w:rsidR="00E22D0D">
        <w:rPr>
          <w:rFonts w:ascii="Arial" w:eastAsia="Times New Roman" w:hAnsi="Arial" w:cs="Arial"/>
          <w:szCs w:val="24"/>
          <w:lang w:eastAsia="pt-BR"/>
        </w:rPr>
        <w:t>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>, aprovando</w:t>
      </w:r>
      <w:r w:rsidR="009E1E9C">
        <w:rPr>
          <w:rFonts w:ascii="Arial" w:eastAsia="Times New Roman" w:hAnsi="Arial" w:cs="Arial"/>
          <w:szCs w:val="24"/>
          <w:lang w:eastAsia="pt-BR"/>
        </w:rPr>
        <w:t>, em segunda discussão e votação,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o Projeto de Lei </w:t>
      </w:r>
      <w:r w:rsidR="009E1E9C">
        <w:rPr>
          <w:rFonts w:ascii="Arial" w:eastAsia="Times New Roman" w:hAnsi="Arial" w:cs="Arial"/>
          <w:szCs w:val="24"/>
          <w:lang w:eastAsia="pt-BR"/>
        </w:rPr>
        <w:t xml:space="preserve">Complementar </w:t>
      </w:r>
      <w:r w:rsidRPr="009C5A22">
        <w:rPr>
          <w:rFonts w:ascii="Arial" w:eastAsia="Times New Roman" w:hAnsi="Arial" w:cs="Arial"/>
          <w:szCs w:val="24"/>
          <w:lang w:eastAsia="pt-BR"/>
        </w:rPr>
        <w:t>nº 0</w:t>
      </w:r>
      <w:r w:rsidR="009E1E9C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9E1E9C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</w:t>
      </w:r>
      <w:r w:rsidR="009E1E9C">
        <w:rPr>
          <w:rFonts w:eastAsia="Times New Roman" w:cs="Times New Roman"/>
          <w:b/>
          <w:bCs/>
          <w:sz w:val="32"/>
          <w:szCs w:val="32"/>
          <w:lang w:eastAsia="pt-BR"/>
        </w:rPr>
        <w:t xml:space="preserve">COMPLEMENTAR 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Nº 0</w:t>
      </w:r>
      <w:r w:rsidR="009E1E9C">
        <w:rPr>
          <w:rFonts w:eastAsia="Times New Roman" w:cs="Times New Roman"/>
          <w:b/>
          <w:bCs/>
          <w:sz w:val="32"/>
          <w:szCs w:val="32"/>
          <w:lang w:eastAsia="pt-BR"/>
        </w:rPr>
        <w:t>20/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201</w:t>
      </w:r>
      <w:r w:rsidR="009E1E9C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297555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297555">
        <w:rPr>
          <w:rFonts w:ascii="Arial" w:eastAsia="Times New Roman" w:hAnsi="Arial" w:cs="Arial"/>
          <w:sz w:val="22"/>
          <w:lang w:eastAsia="pt-BR"/>
        </w:rPr>
        <w:t>Altera a Lei Complementar nº 911, de 26 de agosto de 2019, e dá outra providência.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Lei Complementar nº 911, de 26 de agosto de 2019, passa a vigorar com as seguintes alterações: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“Art. 4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Município fica autorizado, nos termos da alínea "f" do inciso I do art. 17 da Lei Federal n° 8.666, de 21 de junho de 1993, a proceder à Concessão de Direito Real de Uso (CDRU) dos lotes e glebas descritos no Anexo </w:t>
      </w:r>
      <w:proofErr w:type="spellStart"/>
      <w:r w:rsidRPr="00297555">
        <w:rPr>
          <w:rFonts w:ascii="Arial" w:eastAsia="Times New Roman" w:hAnsi="Arial" w:cs="Arial"/>
          <w:szCs w:val="24"/>
          <w:lang w:eastAsia="pt-BR"/>
        </w:rPr>
        <w:t>Único-A</w:t>
      </w:r>
      <w:proofErr w:type="spellEnd"/>
      <w:r w:rsidRPr="00297555">
        <w:rPr>
          <w:rFonts w:ascii="Arial" w:eastAsia="Times New Roman" w:hAnsi="Arial" w:cs="Arial"/>
          <w:szCs w:val="24"/>
          <w:lang w:eastAsia="pt-BR"/>
        </w:rPr>
        <w:t xml:space="preserve"> desta lei complementar às famílias beneficiárias inscritas no cadastro habitacional, selecionadas de acordo com critérios e regras estabelecidos por esta lei complementar.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Art. 5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Os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lotes e as glebas constantes no Anexo </w:t>
      </w:r>
      <w:proofErr w:type="spellStart"/>
      <w:r w:rsidRPr="00297555">
        <w:rPr>
          <w:rFonts w:ascii="Arial" w:eastAsia="Times New Roman" w:hAnsi="Arial" w:cs="Arial"/>
          <w:szCs w:val="24"/>
          <w:lang w:eastAsia="pt-BR"/>
        </w:rPr>
        <w:t>Único-A</w:t>
      </w:r>
      <w:proofErr w:type="spellEnd"/>
      <w:r w:rsidRPr="00297555">
        <w:rPr>
          <w:rFonts w:ascii="Arial" w:eastAsia="Times New Roman" w:hAnsi="Arial" w:cs="Arial"/>
          <w:szCs w:val="24"/>
          <w:lang w:eastAsia="pt-BR"/>
        </w:rPr>
        <w:t xml:space="preserve"> desta Lei complementar deverão ser parcelados, aprovados e registrados, sendo disponibilizados ao Programa apenas a partir da abertura das respectivas matrículas.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Art. 6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</w:t>
      </w:r>
      <w:proofErr w:type="gramEnd"/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I – comprovar 2 anos de residência, no mínimo, no município de Araraquara, atendendo às condições requeridas nas instruções normativas do programa;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Parágrafo único.  As informações constantes do Cadastro Habitacional e do Cadastro Único devem ser compatíveis, sob pena de gerar a desclassificação do candidato.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Art. 8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</w:t>
      </w:r>
      <w:proofErr w:type="gramEnd"/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Parágrafo único.  Cada representante deverá ser indicado juntamente com um suplente oriundo do mesmo órgão.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Art. 9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</w:t>
      </w:r>
      <w:proofErr w:type="gramEnd"/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lastRenderedPageBreak/>
        <w:t>IV – existência de pessoa com mais de 60 (sessenta) anos no núcleo familiar: 2 (dois)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V – existência de pessoa com deficiência no núcleo familiar: 2 (dois)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VI – existência de pessoa com doença grave no núcleo familiar: 2 (dois)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VII – maior número de dependentes com até 18 (dezoito) anos incompletos: sendo 1 (um) ponto por dependente, devendo o dependente em idade escolar estar obrigatoriamente matriculado em instituição de ensino, ou ter ensino médio completo;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VIII – moradia atual em condições de risco ambiental, físico ou geotécnico, atestado pela defesa civil: 3 (três)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IX – não possuir rede protetiva familiar: 1 (um) ponto;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X – ser usuário da rede protetiva pública ou privada: 2 (dois)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XI – titular ou cônjuge de família com mais de 40 (quarenta) anos: 2 (dois) pontos;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XIV – morar em condições de aluguel: 2 (dois) pontos.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§ 3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Poder Executivo Municipal garantirá a participação no Programa Habitacional Organização de Construção da Autogestão (OCA), com prioridade às famílias removidas de áreas de risco, de proteção ambiental e de ocupação, por meio de ação conjunta entre a Secretaria Municipal de Desenvolvimento Urbano, Secretaria Municipal de Desenvolvimento e Assistência Social, Departamento Autônomo de Água e Esgoto – DAAE, Secretaria Municipal de Trabalho e Desenvolvimento Econômico e Defesa Civil.” (NR) 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acrescido à Lei Complementar nº 911, de 2019, o Anexo Único – A, com a seguinte redação: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 xml:space="preserve">“ANEXO ÚNICO – A 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>IMÓVEIS PARA CONCESSÃO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2435"/>
        <w:gridCol w:w="1203"/>
        <w:gridCol w:w="1559"/>
      </w:tblGrid>
      <w:tr w:rsidR="00297555" w:rsidRPr="00297555" w:rsidTr="00A610B5">
        <w:trPr>
          <w:jc w:val="center"/>
        </w:trPr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Localização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Matrícula 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Área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Pedro Grecco –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Hortencias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61.089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264,04 m²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– Jardim Nova Araraquara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33.951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367,78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Av. Marginal 2 - Jardim Santa Clara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59.060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250,87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Engenheiro José Carlos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Blundi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111.049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3.238,99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lastRenderedPageBreak/>
              <w:t>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Av. Raphael Medina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121.258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5.408,23m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VI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Av. Oswaldo Lopes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121.259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5.434,80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VII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José Alves da Silva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Goes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Vila Biagioni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75.115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383,85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VIII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Valkirio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Galeazzi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Jardim Roberto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Selmi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Dey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118.882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30.523,12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IX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Jurandir Rios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Garçoni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61.709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Maria Luiza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Baschix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Vila Biagioni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75.116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255,80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Dr. Paulo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Iannotti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Jardim Adalberto Frederico de Oliveira Roxo II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116.534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180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Arib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Nasser –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61.686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320,12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XIII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11 – Jardim Adalberto Frederico de Oliveira Roxo II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76.751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180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XIV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Renato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Santini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61.495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Remo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Frontarolli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61.503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XVI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Av. Remo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Frontarolli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61.512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XVII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Avenida Remo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Frontarolli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Parque das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61.498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225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XVIII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Ermelinda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Pacini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Sgobbi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- Jardim Adalberto Frederico de Oliveira Roxo II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116.517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180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XIX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Silvio de Jorge e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Angelo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Salata;</w:t>
            </w:r>
          </w:p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Av. Bandeirantes e Prudente de Morais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118.264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1.896,84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R. Silvio de Jorge e </w:t>
            </w:r>
            <w:proofErr w:type="spellStart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Angelo</w:t>
            </w:r>
            <w:proofErr w:type="spellEnd"/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 Salata;</w:t>
            </w:r>
          </w:p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Av. Bandeirantes e Prudente de Morais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118.263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3.000,71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lastRenderedPageBreak/>
              <w:t>XXI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73.429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712,60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XXII – 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73.430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680,52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73.431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717,72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XXIII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73.432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755,25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XXIV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73.433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790,37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XXV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73.434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816,55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XXVI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73.435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836,73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XXVII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73.436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852,10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XXVIII – 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73.437</w:t>
            </w:r>
          </w:p>
        </w:tc>
        <w:tc>
          <w:tcPr>
            <w:tcW w:w="155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866,77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 xml:space="preserve">XXIX – 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876.52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  <w:tr w:rsidR="00297555" w:rsidRPr="00297555" w:rsidTr="00A610B5">
        <w:trPr>
          <w:jc w:val="center"/>
        </w:trPr>
        <w:tc>
          <w:tcPr>
            <w:tcW w:w="922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XXX –</w:t>
            </w:r>
          </w:p>
        </w:tc>
        <w:tc>
          <w:tcPr>
            <w:tcW w:w="2435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R. Júlio Malara - Estância Primavera</w:t>
            </w:r>
          </w:p>
        </w:tc>
        <w:tc>
          <w:tcPr>
            <w:tcW w:w="1179" w:type="dxa"/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73.439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7555" w:rsidRPr="00297555" w:rsidRDefault="00297555" w:rsidP="0029755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297555">
              <w:rPr>
                <w:rFonts w:ascii="Arial" w:eastAsia="Times New Roman" w:hAnsi="Arial" w:cs="Arial"/>
                <w:szCs w:val="24"/>
                <w:lang w:eastAsia="pt-BR"/>
              </w:rPr>
              <w:t>861,84 m</w:t>
            </w:r>
            <w:r w:rsidRPr="00297555">
              <w:rPr>
                <w:rFonts w:ascii="Arial" w:eastAsia="Times New Roman" w:hAnsi="Arial" w:cs="Arial"/>
                <w:szCs w:val="24"/>
                <w:vertAlign w:val="superscript"/>
                <w:lang w:eastAsia="pt-BR"/>
              </w:rPr>
              <w:t>2</w:t>
            </w:r>
          </w:p>
        </w:tc>
      </w:tr>
    </w:tbl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”(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>NR)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Ficam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revogados da Lei Complementar nº 911, de 2019: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I – o inciso III do “caput” do art. 6º; e</w:t>
      </w: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II – o Anexo Único.</w:t>
      </w:r>
      <w:bookmarkStart w:id="0" w:name="_GoBack"/>
      <w:bookmarkEnd w:id="0"/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97555" w:rsidRPr="00297555" w:rsidRDefault="00297555" w:rsidP="0029755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297555">
        <w:rPr>
          <w:rFonts w:ascii="Arial" w:eastAsia="Times New Roman" w:hAnsi="Arial" w:cs="Arial"/>
          <w:szCs w:val="24"/>
          <w:lang w:eastAsia="pt-BR"/>
        </w:rPr>
        <w:tab/>
      </w:r>
      <w:r w:rsidRPr="00297555">
        <w:rPr>
          <w:rFonts w:ascii="Arial" w:eastAsia="Times New Roman" w:hAnsi="Arial" w:cs="Arial"/>
          <w:szCs w:val="24"/>
          <w:lang w:eastAsia="pt-BR"/>
        </w:rPr>
        <w:tab/>
        <w:t>Art. 4</w:t>
      </w:r>
      <w:proofErr w:type="gramStart"/>
      <w:r w:rsidRPr="00297555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297555">
        <w:rPr>
          <w:rFonts w:ascii="Arial" w:eastAsia="Times New Roman" w:hAnsi="Arial" w:cs="Arial"/>
          <w:szCs w:val="24"/>
          <w:lang w:eastAsia="pt-BR"/>
        </w:rPr>
        <w:t xml:space="preserve"> lei complementar entra em vigor na data de sua publicação.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97555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E1E9C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655A-1CCF-4B76-A3A9-B2A21279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2018-06-19T17:03:00Z</dcterms:created>
  <dcterms:modified xsi:type="dcterms:W3CDTF">2019-11-19T18:30:00Z</dcterms:modified>
</cp:coreProperties>
</file>