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(OCA)), de modo a reformular pontualmente dispositivos para melhor aplicabilidade do Programa,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413F1" w:rsidRDefault="00D413F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413F1" w:rsidRPr="001B5DD7" w:rsidRDefault="00D413F1" w:rsidP="00D413F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413F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D91" w:rsidRDefault="00DE3D91" w:rsidP="00126850">
      <w:pPr>
        <w:spacing w:line="240" w:lineRule="auto"/>
      </w:pPr>
      <w:r>
        <w:separator/>
      </w:r>
    </w:p>
  </w:endnote>
  <w:endnote w:type="continuationSeparator" w:id="0">
    <w:p w:rsidR="00DE3D91" w:rsidRDefault="00DE3D9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13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13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D91" w:rsidRDefault="00DE3D91" w:rsidP="00126850">
      <w:pPr>
        <w:spacing w:line="240" w:lineRule="auto"/>
      </w:pPr>
      <w:r>
        <w:separator/>
      </w:r>
    </w:p>
  </w:footnote>
  <w:footnote w:type="continuationSeparator" w:id="0">
    <w:p w:rsidR="00DE3D91" w:rsidRDefault="00DE3D9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13F1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3D91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FAEA9-10E7-4EC1-B432-452F6885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2019-11-12T15:31:00Z</dcterms:modified>
</cp:coreProperties>
</file>