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6F58FC">
        <w:rPr>
          <w:rFonts w:ascii="Arial" w:hAnsi="Arial" w:cs="Arial"/>
          <w:sz w:val="24"/>
          <w:szCs w:val="24"/>
        </w:rPr>
        <w:t>2</w:t>
      </w:r>
      <w:r w:rsidR="00CC41DD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B8133E">
        <w:rPr>
          <w:rFonts w:ascii="Arial" w:hAnsi="Arial" w:cs="Arial"/>
          <w:sz w:val="24"/>
          <w:szCs w:val="24"/>
        </w:rPr>
        <w:t>60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B8133E">
        <w:rPr>
          <w:b/>
          <w:bCs/>
          <w:sz w:val="32"/>
          <w:szCs w:val="32"/>
        </w:rPr>
        <w:t>60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B8133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8133E">
        <w:rPr>
          <w:rFonts w:ascii="Arial" w:hAnsi="Arial" w:cs="Arial"/>
          <w:sz w:val="22"/>
          <w:szCs w:val="22"/>
        </w:rPr>
        <w:t>Autoriza a doação onerosa de imóvel do Município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 xml:space="preserve">Art. 1º  Fica o Município de Araraquara autorizado a alienar, mediante doação onerosa, a Otávio Danilo de Souza da Silva ME, empresário individual inscrito no CNPJ sob o nº 26.242.649/0001-02, imóvel de sua propriedade, localizado na frontal ao prolongamento da Avenida </w:t>
      </w:r>
      <w:proofErr w:type="spellStart"/>
      <w:r w:rsidRPr="00B8133E">
        <w:rPr>
          <w:rFonts w:ascii="Arial" w:hAnsi="Arial" w:cs="Arial"/>
          <w:sz w:val="24"/>
          <w:szCs w:val="24"/>
        </w:rPr>
        <w:t>Hyldetti</w:t>
      </w:r>
      <w:proofErr w:type="spellEnd"/>
      <w:r w:rsidRPr="00B8133E">
        <w:rPr>
          <w:rFonts w:ascii="Arial" w:hAnsi="Arial" w:cs="Arial"/>
          <w:sz w:val="24"/>
          <w:szCs w:val="24"/>
        </w:rPr>
        <w:t xml:space="preserve"> Negrini </w:t>
      </w:r>
      <w:proofErr w:type="spellStart"/>
      <w:r w:rsidRPr="00B8133E">
        <w:rPr>
          <w:rFonts w:ascii="Arial" w:hAnsi="Arial" w:cs="Arial"/>
          <w:sz w:val="24"/>
          <w:szCs w:val="24"/>
        </w:rPr>
        <w:t>Toloi</w:t>
      </w:r>
      <w:proofErr w:type="spellEnd"/>
      <w:r w:rsidRPr="00B8133E">
        <w:rPr>
          <w:rFonts w:ascii="Arial" w:hAnsi="Arial" w:cs="Arial"/>
          <w:sz w:val="24"/>
          <w:szCs w:val="24"/>
        </w:rPr>
        <w:t xml:space="preserve">, denominada “A5” (parte do desmembramento da área “A” da Granja Dinamarca), Jardim Universal, Araraquara-SP, objeto da matrícula nº 116.507, do 1º Cartório de Registro de Imóveis da Comarca de Araraquara, integrante do guichê administrativo nº 085.170/2019 – processo nº 001.954/2018 e do guichê administrativo nº 068.076/2019 – processo nº 008.957/2009, referente ao Edital de </w:t>
      </w:r>
      <w:r>
        <w:rPr>
          <w:rFonts w:ascii="Arial" w:hAnsi="Arial" w:cs="Arial"/>
          <w:sz w:val="24"/>
          <w:szCs w:val="24"/>
        </w:rPr>
        <w:t>Chamamento Público nº 003/2019.</w:t>
      </w:r>
      <w:bookmarkStart w:id="0" w:name="_GoBack"/>
      <w:bookmarkEnd w:id="0"/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B8133E">
        <w:rPr>
          <w:rFonts w:ascii="Arial" w:hAnsi="Arial" w:cs="Arial"/>
          <w:sz w:val="24"/>
          <w:szCs w:val="24"/>
        </w:rPr>
        <w:t>º  Do</w:t>
      </w:r>
      <w:proofErr w:type="gramEnd"/>
      <w:r w:rsidRPr="00B8133E">
        <w:rPr>
          <w:rFonts w:ascii="Arial" w:hAnsi="Arial" w:cs="Arial"/>
          <w:sz w:val="24"/>
          <w:szCs w:val="24"/>
        </w:rPr>
        <w:t xml:space="preserve"> instrumento de doação, instrumentalizado com o Edital do Chamamento Público nº 003/2019, com o projeto individual apresentado pelo donatário e com outros documentos porventura pertinentes, constará: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>I – cláusula de retrocessão;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>II – cláusula que contenha a obrigação de recolher todos os tributos federais e estaduais no município de Araraquara;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>III – cláusula especificando que, em caso de recuperação judicial, falência, extinção ou liquidação do donatário, terá o Município direito de preferência em relação ao imóvel doado;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>IV – cláusula determinando que o donatário não possa, sem anuência do doador, alterar seus objetivos de exploração da atividade econômica, consoante no projeto individual apresentado no chamamento público;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>V – cláusula impeditiva de modificações quanto à destinação do imóvel doado;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>VI – cláusula que determine a anuência do doador quando da cessão ou alienação do imóvel por parte do donatário;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>VII – cláusula fixando que, em caso de hasta pública, o Município terá direito de preferência sobre o imóvel;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>VIII – cláusula determinando que o donatário utilize totalmente a área doada, de acordo com os objetivos propostos;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>IX – cláusula que contenha a impenhorabilidade do bem doado;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 xml:space="preserve">X – cláusula dispondo que a Secretaria Municipal do Trabalho e do Desenvolvimento Econômico poderá, a qualquer tempo, e com qualquer periodicidade, </w:t>
      </w:r>
      <w:r w:rsidRPr="00B8133E">
        <w:rPr>
          <w:rFonts w:ascii="Arial" w:hAnsi="Arial" w:cs="Arial"/>
          <w:sz w:val="24"/>
          <w:szCs w:val="24"/>
        </w:rPr>
        <w:lastRenderedPageBreak/>
        <w:t xml:space="preserve">requerer ao donatário a comprovação da continuidade das condições que a habilitaram ao recebimento do benefício; 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>XI – cláusula que estipule que o donatário deverá demonstrar ao órgão da Administração Municipal o atendimento aos requisitos e contrapartidas estipulados: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>a) por esta lei e seus regulamentos, nos termos do art. 11 da Lei nº 5.119, de 14 de dezembro de 1998; e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 xml:space="preserve">b) pelo Edital do Chamamento Público nº 003/2019 e pelo projeto individual apresentado pelo donatário. 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>Parágrafo único.  Todas as custas, os tributos e os emolumentos devidos pela lavratura das escrituras, como seus registros no cartório competente, serão de exclusiva responsabilidade do donatário, inclusive o Imposto de Transmissão de Bens Imóveis (ITBI) devido em razão da doação.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B8133E">
        <w:rPr>
          <w:rFonts w:ascii="Arial" w:hAnsi="Arial" w:cs="Arial"/>
          <w:sz w:val="24"/>
          <w:szCs w:val="24"/>
        </w:rPr>
        <w:t>º  O</w:t>
      </w:r>
      <w:proofErr w:type="gramEnd"/>
      <w:r w:rsidRPr="00B8133E">
        <w:rPr>
          <w:rFonts w:ascii="Arial" w:hAnsi="Arial" w:cs="Arial"/>
          <w:sz w:val="24"/>
          <w:szCs w:val="24"/>
        </w:rPr>
        <w:t xml:space="preserve">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B8133E">
        <w:rPr>
          <w:rFonts w:ascii="Arial" w:hAnsi="Arial" w:cs="Arial"/>
          <w:sz w:val="24"/>
          <w:szCs w:val="24"/>
        </w:rPr>
        <w:t>º  As</w:t>
      </w:r>
      <w:proofErr w:type="gramEnd"/>
      <w:r w:rsidRPr="00B8133E">
        <w:rPr>
          <w:rFonts w:ascii="Arial" w:hAnsi="Arial" w:cs="Arial"/>
          <w:sz w:val="24"/>
          <w:szCs w:val="24"/>
        </w:rPr>
        <w:t xml:space="preserve"> despesas com a execução desta lei onerarão as dotações orçamentárias próprias, suplementadas se necessário.</w:t>
      </w: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8133E" w:rsidRPr="00B8133E" w:rsidRDefault="00B8133E" w:rsidP="00B813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133E">
        <w:rPr>
          <w:rFonts w:ascii="Arial" w:hAnsi="Arial" w:cs="Arial"/>
          <w:sz w:val="24"/>
          <w:szCs w:val="24"/>
        </w:rPr>
        <w:tab/>
      </w:r>
      <w:r w:rsidRPr="00B8133E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B8133E">
        <w:rPr>
          <w:rFonts w:ascii="Arial" w:hAnsi="Arial" w:cs="Arial"/>
          <w:sz w:val="24"/>
          <w:szCs w:val="24"/>
        </w:rPr>
        <w:t>º  Esta</w:t>
      </w:r>
      <w:proofErr w:type="gramEnd"/>
      <w:r w:rsidRPr="00B8133E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33E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8133E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624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59</cp:revision>
  <cp:lastPrinted>1998-11-10T17:41:00Z</cp:lastPrinted>
  <dcterms:created xsi:type="dcterms:W3CDTF">2017-03-28T14:59:00Z</dcterms:created>
  <dcterms:modified xsi:type="dcterms:W3CDTF">2019-10-29T18:12:00Z</dcterms:modified>
</cp:coreProperties>
</file>