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F58FC">
        <w:rPr>
          <w:rFonts w:ascii="Arial" w:hAnsi="Arial" w:cs="Arial"/>
          <w:sz w:val="24"/>
          <w:szCs w:val="24"/>
        </w:rPr>
        <w:t>22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40129B">
        <w:rPr>
          <w:rFonts w:ascii="Arial" w:hAnsi="Arial" w:cs="Arial"/>
          <w:sz w:val="24"/>
          <w:szCs w:val="24"/>
        </w:rPr>
        <w:t>outu</w:t>
      </w:r>
      <w:r w:rsidR="007D0578">
        <w:rPr>
          <w:rFonts w:ascii="Arial" w:hAnsi="Arial" w:cs="Arial"/>
          <w:sz w:val="24"/>
          <w:szCs w:val="24"/>
        </w:rPr>
        <w:t>br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E316DB">
        <w:rPr>
          <w:rFonts w:ascii="Arial" w:hAnsi="Arial" w:cs="Arial"/>
          <w:sz w:val="24"/>
          <w:szCs w:val="24"/>
        </w:rPr>
        <w:t>3</w:t>
      </w:r>
      <w:r w:rsidR="00E92902">
        <w:rPr>
          <w:rFonts w:ascii="Arial" w:hAnsi="Arial" w:cs="Arial"/>
          <w:sz w:val="24"/>
          <w:szCs w:val="24"/>
        </w:rPr>
        <w:t>54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1</w:t>
      </w:r>
      <w:r w:rsidR="00D31538">
        <w:rPr>
          <w:rFonts w:ascii="Arial" w:hAnsi="Arial" w:cs="Arial"/>
          <w:sz w:val="24"/>
          <w:szCs w:val="24"/>
        </w:rPr>
        <w:t>9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E316DB">
        <w:rPr>
          <w:b/>
          <w:bCs/>
          <w:sz w:val="32"/>
          <w:szCs w:val="32"/>
        </w:rPr>
        <w:t>3</w:t>
      </w:r>
      <w:r w:rsidR="00E92902">
        <w:rPr>
          <w:b/>
          <w:bCs/>
          <w:sz w:val="32"/>
          <w:szCs w:val="32"/>
        </w:rPr>
        <w:t>54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CC2294">
        <w:rPr>
          <w:b/>
          <w:bCs/>
          <w:sz w:val="32"/>
          <w:szCs w:val="32"/>
        </w:rPr>
        <w:t>1</w:t>
      </w:r>
      <w:r w:rsidR="00D31538">
        <w:rPr>
          <w:b/>
          <w:bCs/>
          <w:sz w:val="32"/>
          <w:szCs w:val="32"/>
        </w:rPr>
        <w:t>9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E92902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E92902">
        <w:rPr>
          <w:rFonts w:ascii="Arial" w:hAnsi="Arial" w:cs="Arial"/>
          <w:sz w:val="22"/>
          <w:szCs w:val="22"/>
        </w:rPr>
        <w:t>Autoriza a alienação, por licitação na modalidade concorrência, dos imóveis de matrículas nº 116.340 e 116.341, do 1º Cartório de Registro de Imóveis de Araraquara, e dá outras providências.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Art. 1</w:t>
      </w:r>
      <w:proofErr w:type="gramStart"/>
      <w:r w:rsidRPr="00E92902">
        <w:rPr>
          <w:rFonts w:ascii="Arial" w:hAnsi="Arial" w:cs="Arial"/>
          <w:sz w:val="24"/>
          <w:szCs w:val="24"/>
        </w:rPr>
        <w:t>º  Ficam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desafetados os imóveis de matrículas nº 116.340 e 116.341, do 1º Cartório de Registro de Imóveis de Araraquara, estando o Poder Executivo autorizado a aliená-los, mediante licitação na modalidade concorrência.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§ 1</w:t>
      </w:r>
      <w:proofErr w:type="gramStart"/>
      <w:r w:rsidRPr="00E92902">
        <w:rPr>
          <w:rFonts w:ascii="Arial" w:hAnsi="Arial" w:cs="Arial"/>
          <w:sz w:val="24"/>
          <w:szCs w:val="24"/>
        </w:rPr>
        <w:t>º  Os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imóveis mencionados no “caput” deste artigo são assim descritos: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 xml:space="preserve">I – matrícula nº 116.340: “terreno constituído pela Área ‘G1’ do desmembramento da Área ‘G’ e pela Área ‘A2’ do desmembramento da Área “A”, localizado na Avenida Presidente Vargas, na quadra completada pela Avenida Itápolis, Avenida São José, Rua Hugo Negrini, Rua </w:t>
      </w:r>
      <w:proofErr w:type="spellStart"/>
      <w:r w:rsidRPr="00E92902">
        <w:rPr>
          <w:rFonts w:ascii="Arial" w:hAnsi="Arial" w:cs="Arial"/>
          <w:sz w:val="24"/>
          <w:szCs w:val="24"/>
        </w:rPr>
        <w:t>Salviano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902">
        <w:rPr>
          <w:rFonts w:ascii="Arial" w:hAnsi="Arial" w:cs="Arial"/>
          <w:sz w:val="24"/>
          <w:szCs w:val="24"/>
        </w:rPr>
        <w:t>Rosalino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e Rua Ivo Dall’Acqua, em Araraquara, contendo 4.990,39 metros quadrados que se descreve e caracteriza: ‘inicia-se no ponto 19B, localizado na intersecção desta área com o alinhamento predial da Rua Ivo Dall’Acqua e o alinhamento predial da Avenida Presidente Vargas; daí segue por 136,70 metros, até encontrar o ponto 8-C1, confrontando do ponto 19-B ao 8-C1, passando pelo ponto 19-C, com o alinhamento predial da Rua Ivo Dall’Acqua; daí deflete a direita e segue por 44,20 metros, até encontrar o ponto 19-C1, confrontando com a Área ‘A1’ (M. 116.341); daí segue por 44,68 metros, até encontrar o ponto 19-D1, confrontando com a Área ‘G2’ (M. 116.339); daí deflete a direita por 62,90 metros, até encontrar o ponto 19-E, confrontando com a Área ‘A1’(M. 116.341); daí finalmente deflete alinhamento predial da Avenida Presidente Vargas, até encontrar o ponto inicial 19-B, encerrando assim </w:t>
      </w:r>
      <w:proofErr w:type="spellStart"/>
      <w:r w:rsidRPr="00E92902">
        <w:rPr>
          <w:rFonts w:ascii="Arial" w:hAnsi="Arial" w:cs="Arial"/>
          <w:sz w:val="24"/>
          <w:szCs w:val="24"/>
        </w:rPr>
        <w:t>esta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descrição”; e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 xml:space="preserve">II – matrícula nº 116.341: “terreno constituído pela área ‘A1’ do desmembramento da área ‘A’ e pela área ‘G2’ do desmembramento da Área ‘G’, localizado na Rua </w:t>
      </w:r>
      <w:proofErr w:type="spellStart"/>
      <w:r w:rsidRPr="00E92902">
        <w:rPr>
          <w:rFonts w:ascii="Arial" w:hAnsi="Arial" w:cs="Arial"/>
          <w:sz w:val="24"/>
          <w:szCs w:val="24"/>
        </w:rPr>
        <w:t>Salviano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902">
        <w:rPr>
          <w:rFonts w:ascii="Arial" w:hAnsi="Arial" w:cs="Arial"/>
          <w:sz w:val="24"/>
          <w:szCs w:val="24"/>
        </w:rPr>
        <w:t>Rosalino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, na quadra completada pela Avenida Itápolis, Avenida São José, Avenida Presidente Vargas, Rua Hugo Negrini e Rua Ivo Dall’Acqua, em Araraquara, contendo 26.278,85 metros quadrados que assim se descreve e caracteriza: ‘inicia-se no ponto 18A, localizado na intersecção desta área com o alinhamento predial da Rua </w:t>
      </w:r>
      <w:proofErr w:type="spellStart"/>
      <w:r w:rsidRPr="00E92902">
        <w:rPr>
          <w:rFonts w:ascii="Arial" w:hAnsi="Arial" w:cs="Arial"/>
          <w:sz w:val="24"/>
          <w:szCs w:val="24"/>
        </w:rPr>
        <w:t>Salviano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902">
        <w:rPr>
          <w:rFonts w:ascii="Arial" w:hAnsi="Arial" w:cs="Arial"/>
          <w:sz w:val="24"/>
          <w:szCs w:val="24"/>
        </w:rPr>
        <w:t>Rosalino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; daí segue no sentido NW, em curva a esquerda e por 17,00 metros, até encontrar o ponto 20-A, confrontando com o alinhamento predial da Rua </w:t>
      </w:r>
      <w:proofErr w:type="spellStart"/>
      <w:r w:rsidRPr="00E92902">
        <w:rPr>
          <w:rFonts w:ascii="Arial" w:hAnsi="Arial" w:cs="Arial"/>
          <w:sz w:val="24"/>
          <w:szCs w:val="24"/>
        </w:rPr>
        <w:t>Salviano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902">
        <w:rPr>
          <w:rFonts w:ascii="Arial" w:hAnsi="Arial" w:cs="Arial"/>
          <w:sz w:val="24"/>
          <w:szCs w:val="24"/>
        </w:rPr>
        <w:t>Rosalino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; daí segue no sentido SW e por 4,90 meros, até encontrar o ponto 21-A, confrontando com o alinhamento predial da Rua </w:t>
      </w:r>
      <w:proofErr w:type="spellStart"/>
      <w:r w:rsidRPr="00E92902">
        <w:rPr>
          <w:rFonts w:ascii="Arial" w:hAnsi="Arial" w:cs="Arial"/>
          <w:sz w:val="24"/>
          <w:szCs w:val="24"/>
        </w:rPr>
        <w:t>Salviano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92902">
        <w:rPr>
          <w:rFonts w:ascii="Arial" w:hAnsi="Arial" w:cs="Arial"/>
          <w:sz w:val="24"/>
          <w:szCs w:val="24"/>
        </w:rPr>
        <w:t>Rosalino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; daí segue no sentido NW e por 35,50 metros, até encontrar o ponto </w:t>
      </w:r>
      <w:r w:rsidRPr="00E92902">
        <w:rPr>
          <w:rFonts w:ascii="Arial" w:hAnsi="Arial" w:cs="Arial"/>
          <w:sz w:val="24"/>
          <w:szCs w:val="24"/>
        </w:rPr>
        <w:lastRenderedPageBreak/>
        <w:t xml:space="preserve">15, confrontando com a propriedade de José </w:t>
      </w:r>
      <w:proofErr w:type="spellStart"/>
      <w:r w:rsidRPr="00E92902">
        <w:rPr>
          <w:rFonts w:ascii="Arial" w:hAnsi="Arial" w:cs="Arial"/>
          <w:sz w:val="24"/>
          <w:szCs w:val="24"/>
        </w:rPr>
        <w:t>Barbuglio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; daí segue no sentido NE e por 48,49 metros, até encontrar o ponto 16; daí segue no sentido NE e por 7,84 metros, até encontrar o ponto 17; daí segue no sentido NE e por 6,09 metros, até encontrar o ponto 18, confrontando do ponto 15 ao 18, passando pelos pontos 16 e 17 com o alinhamento predial da Rua Hugo Negrini; daí segue no sentido NE e por 9,50 metros, até encontrar o ponto 19; daí segue no sentido NE e por 105,56, até encontrar o ponto 19-E, confrontando do ponto 18 ao 19-F, passando pelo ponto 19, com o alinhamento predial da Avenida Presidente Vargas; daí deflete a direita e segue por 62,90 metros, até encontrar o ponto 19-D1; daí deflete a esquerda e segue por 44,68 metros, até encontrar o ponto 19-C1, confrontando do 19-E ao ponto 19-C1, passando pelo ponto 19-D1, com a Área ‘G1’ (M. 116.340); daí segue por 44,20 metros, até encontrar o ponto 8C, confrontando o alinhamento predial da Rua Ivo Dall’Acqua; daí deflete a direita e segue por 75,70 metros, até encontrar o ponto 8B, confrontando com o alinhamento predial da Avenida São José; daí, finalmente segue em curva a direta por 11,93 metros, até encontrar o ponto inicial 18-A, confrontando com o alinhamento predial da Avenida São José, encerrando assim </w:t>
      </w:r>
      <w:proofErr w:type="spellStart"/>
      <w:r w:rsidRPr="00E92902">
        <w:rPr>
          <w:rFonts w:ascii="Arial" w:hAnsi="Arial" w:cs="Arial"/>
          <w:sz w:val="24"/>
          <w:szCs w:val="24"/>
        </w:rPr>
        <w:t>esta</w:t>
      </w:r>
      <w:proofErr w:type="spellEnd"/>
      <w:r w:rsidRPr="00E92902">
        <w:rPr>
          <w:rFonts w:ascii="Arial" w:hAnsi="Arial" w:cs="Arial"/>
          <w:sz w:val="24"/>
          <w:szCs w:val="24"/>
        </w:rPr>
        <w:t xml:space="preserve"> descrição”.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§ 2</w:t>
      </w:r>
      <w:proofErr w:type="gramStart"/>
      <w:r w:rsidRPr="00E92902">
        <w:rPr>
          <w:rFonts w:ascii="Arial" w:hAnsi="Arial" w:cs="Arial"/>
          <w:sz w:val="24"/>
          <w:szCs w:val="24"/>
        </w:rPr>
        <w:t>º  A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avaliação dos imóveis deverá ser atualizada pelo órgão competente da Prefeitura do Município de Araraquara previamente à abertura do certame licitatório, levando-se em conta as condições de mercado vigentes na ocasião. 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§ 3</w:t>
      </w:r>
      <w:proofErr w:type="gramStart"/>
      <w:r w:rsidRPr="00E92902">
        <w:rPr>
          <w:rFonts w:ascii="Arial" w:hAnsi="Arial" w:cs="Arial"/>
          <w:sz w:val="24"/>
          <w:szCs w:val="24"/>
        </w:rPr>
        <w:t>º  A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alienação de que trata o “caput” deste artigo se dará “ad corpus”, conforme o § 3º do artigo 500 da Lei Federal nº 10.406, de 10 de janeiro de 2002.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Art. 2</w:t>
      </w:r>
      <w:proofErr w:type="gramStart"/>
      <w:r w:rsidRPr="00E92902">
        <w:rPr>
          <w:rFonts w:ascii="Arial" w:hAnsi="Arial" w:cs="Arial"/>
          <w:sz w:val="24"/>
          <w:szCs w:val="24"/>
        </w:rPr>
        <w:t>º  A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receita decorrente da alienação de que trata esta lei não financiará despesa corrente.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Art. 3</w:t>
      </w:r>
      <w:proofErr w:type="gramStart"/>
      <w:r w:rsidRPr="00E92902">
        <w:rPr>
          <w:rFonts w:ascii="Arial" w:hAnsi="Arial" w:cs="Arial"/>
          <w:sz w:val="24"/>
          <w:szCs w:val="24"/>
        </w:rPr>
        <w:t>º  As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despesas com a execução desta lei onerarão as dotações orçamentárias próprias, suplementadas se necessário.</w:t>
      </w: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E92902" w:rsidRPr="00E92902" w:rsidRDefault="00E92902" w:rsidP="00E92902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E92902">
        <w:rPr>
          <w:rFonts w:ascii="Arial" w:hAnsi="Arial" w:cs="Arial"/>
          <w:sz w:val="24"/>
          <w:szCs w:val="24"/>
        </w:rPr>
        <w:tab/>
      </w:r>
      <w:r w:rsidRPr="00E92902">
        <w:rPr>
          <w:rFonts w:ascii="Arial" w:hAnsi="Arial" w:cs="Arial"/>
          <w:sz w:val="24"/>
          <w:szCs w:val="24"/>
        </w:rPr>
        <w:tab/>
        <w:t>Art. 4</w:t>
      </w:r>
      <w:proofErr w:type="gramStart"/>
      <w:r w:rsidRPr="00E92902">
        <w:rPr>
          <w:rFonts w:ascii="Arial" w:hAnsi="Arial" w:cs="Arial"/>
          <w:sz w:val="24"/>
          <w:szCs w:val="24"/>
        </w:rPr>
        <w:t>º  Esta</w:t>
      </w:r>
      <w:proofErr w:type="gramEnd"/>
      <w:r w:rsidRPr="00E92902">
        <w:rPr>
          <w:rFonts w:ascii="Arial" w:hAnsi="Arial" w:cs="Arial"/>
          <w:sz w:val="24"/>
          <w:szCs w:val="24"/>
        </w:rPr>
        <w:t xml:space="preserve">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Porsani                                                 Lucas Grecco</w:t>
      </w:r>
    </w:p>
    <w:sectPr w:rsidR="00C110DC" w:rsidRPr="008B13B9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2902">
          <w:rPr>
            <w:noProof/>
          </w:rPr>
          <w:t>2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0D3ECB"/>
    <w:rsid w:val="00177DCD"/>
    <w:rsid w:val="001B0F01"/>
    <w:rsid w:val="00242A1A"/>
    <w:rsid w:val="002F4BE3"/>
    <w:rsid w:val="002F6514"/>
    <w:rsid w:val="002F7149"/>
    <w:rsid w:val="00324BB5"/>
    <w:rsid w:val="003F07FB"/>
    <w:rsid w:val="0040129B"/>
    <w:rsid w:val="00401ED0"/>
    <w:rsid w:val="004423DA"/>
    <w:rsid w:val="004D6249"/>
    <w:rsid w:val="0050480B"/>
    <w:rsid w:val="00523C1B"/>
    <w:rsid w:val="00533B60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D0578"/>
    <w:rsid w:val="008021DA"/>
    <w:rsid w:val="0084027C"/>
    <w:rsid w:val="00844E26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21A11"/>
    <w:rsid w:val="00A56E8A"/>
    <w:rsid w:val="00AB6A5E"/>
    <w:rsid w:val="00AE69B6"/>
    <w:rsid w:val="00BC755B"/>
    <w:rsid w:val="00C110DC"/>
    <w:rsid w:val="00C169CA"/>
    <w:rsid w:val="00C622BE"/>
    <w:rsid w:val="00C80339"/>
    <w:rsid w:val="00CC2294"/>
    <w:rsid w:val="00CE7817"/>
    <w:rsid w:val="00D245ED"/>
    <w:rsid w:val="00D31538"/>
    <w:rsid w:val="00DC0668"/>
    <w:rsid w:val="00E123C5"/>
    <w:rsid w:val="00E159CD"/>
    <w:rsid w:val="00E316DB"/>
    <w:rsid w:val="00E819AB"/>
    <w:rsid w:val="00E85196"/>
    <w:rsid w:val="00E90C7A"/>
    <w:rsid w:val="00E92902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802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5077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58</cp:revision>
  <cp:lastPrinted>1998-11-10T17:41:00Z</cp:lastPrinted>
  <dcterms:created xsi:type="dcterms:W3CDTF">2017-03-28T14:59:00Z</dcterms:created>
  <dcterms:modified xsi:type="dcterms:W3CDTF">2019-10-22T19:04:00Z</dcterms:modified>
</cp:coreProperties>
</file>