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D26C3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8F70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F82D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1B61D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A9F9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B90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5960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D410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B835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CF07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1DA0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9517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C088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511E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79CF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C84AEA">
        <w:rPr>
          <w:rFonts w:ascii="Calibri" w:eastAsia="Arial Unicode MS" w:hAnsi="Calibri" w:cs="Calibri"/>
          <w:b/>
          <w:sz w:val="24"/>
          <w:szCs w:val="24"/>
        </w:rPr>
        <w:t>319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E6170"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E6170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</w:t>
      </w:r>
      <w:r w:rsidR="009778C1">
        <w:rPr>
          <w:rFonts w:ascii="Calibri" w:hAnsi="Calibri" w:cs="Calibri"/>
          <w:color w:val="000000"/>
          <w:sz w:val="24"/>
          <w:szCs w:val="24"/>
        </w:rPr>
        <w:t>a alienação,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DD764C">
        <w:rPr>
          <w:rFonts w:ascii="Calibri" w:hAnsi="Calibri" w:cs="Calibri"/>
          <w:color w:val="000000"/>
          <w:sz w:val="24"/>
          <w:szCs w:val="24"/>
        </w:rPr>
        <w:t>57.22</w:t>
      </w:r>
      <w:r w:rsidR="000B3F32">
        <w:rPr>
          <w:rFonts w:ascii="Calibri" w:hAnsi="Calibri" w:cs="Calibri"/>
          <w:color w:val="000000"/>
          <w:sz w:val="24"/>
          <w:szCs w:val="24"/>
        </w:rPr>
        <w:t>1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>Examinando a potencialidade de utilização do bem, os órgãos técnicos municipais competentes concluíram que o referido imóvel não se presta à implantação de nenhum equipamento público ou comunitário.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utoriza </w:t>
      </w:r>
      <w:r>
        <w:rPr>
          <w:rFonts w:ascii="Calibri" w:hAnsi="Calibri" w:cs="Calibri"/>
          <w:color w:val="000000"/>
          <w:sz w:val="24"/>
          <w:szCs w:val="24"/>
        </w:rPr>
        <w:t>a alienação,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0B3F32">
        <w:rPr>
          <w:rFonts w:ascii="Calibri" w:hAnsi="Calibri" w:cs="Calibri"/>
          <w:color w:val="000000"/>
          <w:sz w:val="24"/>
          <w:szCs w:val="24"/>
        </w:rPr>
        <w:t>57.221</w:t>
      </w:r>
      <w:r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1º</w:t>
      </w:r>
      <w:r w:rsidRPr="00F92040">
        <w:rPr>
          <w:rFonts w:ascii="Calibri" w:hAnsi="Calibri" w:cs="Calibri"/>
          <w:sz w:val="24"/>
          <w:szCs w:val="24"/>
        </w:rPr>
        <w:t xml:space="preserve"> Fica desaf</w:t>
      </w:r>
      <w:r w:rsidR="00DD764C">
        <w:rPr>
          <w:rFonts w:ascii="Calibri" w:hAnsi="Calibri" w:cs="Calibri"/>
          <w:sz w:val="24"/>
          <w:szCs w:val="24"/>
        </w:rPr>
        <w:t>etado o imóvel de matrícula nº 57</w:t>
      </w:r>
      <w:r w:rsidRPr="00F92040">
        <w:rPr>
          <w:rFonts w:ascii="Calibri" w:hAnsi="Calibri" w:cs="Calibri"/>
          <w:sz w:val="24"/>
          <w:szCs w:val="24"/>
        </w:rPr>
        <w:t>.</w:t>
      </w:r>
      <w:r w:rsidR="000B3F32">
        <w:rPr>
          <w:rFonts w:ascii="Calibri" w:hAnsi="Calibri" w:cs="Calibri"/>
          <w:sz w:val="24"/>
          <w:szCs w:val="24"/>
        </w:rPr>
        <w:t>221</w:t>
      </w:r>
      <w:r w:rsidRPr="00F92040">
        <w:rPr>
          <w:rFonts w:ascii="Calibri" w:hAnsi="Calibr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 imóvel mencionado no “caput” deste artigo é assim descrito: “</w:t>
      </w:r>
      <w:r w:rsidR="000B3F32">
        <w:rPr>
          <w:rFonts w:ascii="Calibri" w:hAnsi="Calibri" w:cs="Calibri"/>
          <w:sz w:val="24"/>
          <w:szCs w:val="24"/>
        </w:rPr>
        <w:t>200,80 metros de frente para a rua Um; 14,14 metros no desenvolvimento da curva de concordância dessa rua com a Estrada Municipal ARA-030; 31,00 metros de frente para a Estrada Municipal ARA-030; 14,13 metros no desenvolvimento da curva de concordância da Estrada Municipal ARA-030 com a rua ‘R’; 201,00 metros de frente para a Rua ‘R’; 8,93 metros na face que confronta com Alfredo e Alberto Saba; 4,71 metros no desenvolvimento da curva de concordância da rua ‘R’ com a avenida Lourenço Rolfsen (prolongamento); 31,00 metros de frente para a avenida Lourenço Rolfsen (prolongamento) e 14,14 metros no desenvolvimento da curva de concordância da avenida Lourenço Rolfsen (prolongamento) com a rua Um</w:t>
      </w:r>
      <w:r w:rsidR="000048BD">
        <w:rPr>
          <w:rFonts w:ascii="Calibri" w:hAnsi="Calibri" w:cs="Calibri"/>
          <w:sz w:val="24"/>
          <w:szCs w:val="24"/>
        </w:rPr>
        <w:t>”</w:t>
      </w:r>
      <w:r w:rsidRPr="00F92040">
        <w:rPr>
          <w:rFonts w:ascii="Calibri" w:hAnsi="Calibri" w:cs="Calibri"/>
          <w:sz w:val="24"/>
          <w:szCs w:val="24"/>
        </w:rPr>
        <w:t>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2º</w:t>
      </w:r>
      <w:r w:rsidRPr="00F92040">
        <w:rPr>
          <w:rFonts w:ascii="Calibri" w:hAnsi="Calibri" w:cs="Calibri"/>
          <w:sz w:val="24"/>
          <w:szCs w:val="24"/>
        </w:rPr>
        <w:t xml:space="preserve"> A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3º</w:t>
      </w:r>
      <w:r w:rsidRPr="00F92040">
        <w:rPr>
          <w:rFonts w:ascii="Calibri" w:hAnsi="Calibri" w:cs="Calibri"/>
          <w:sz w:val="24"/>
          <w:szCs w:val="24"/>
        </w:rPr>
        <w:t xml:space="preserve"> A alienação de que trata o “caput” deste artigo se dará “ad corpus”, conforme o § 3º do artigo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lastRenderedPageBreak/>
        <w:t>Art. 2º</w:t>
      </w:r>
      <w:r w:rsidRPr="00F92040">
        <w:rPr>
          <w:rFonts w:ascii="Calibri" w:hAnsi="Calibri" w:cs="Calibri"/>
          <w:sz w:val="24"/>
          <w:szCs w:val="24"/>
        </w:rPr>
        <w:t xml:space="preserve"> A receita decorrente da alienação de que trata esta lei não financiará despesa corrente.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3º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9E6170">
        <w:rPr>
          <w:rFonts w:ascii="Calibri" w:hAnsi="Calibri"/>
          <w:sz w:val="24"/>
          <w:szCs w:val="24"/>
        </w:rPr>
        <w:t>10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9E6170">
        <w:rPr>
          <w:rFonts w:ascii="Calibri" w:hAnsi="Calibri"/>
          <w:sz w:val="24"/>
          <w:szCs w:val="24"/>
        </w:rPr>
        <w:t>dez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E6170">
        <w:rPr>
          <w:rFonts w:ascii="Calibri" w:hAnsi="Calibri"/>
          <w:sz w:val="24"/>
          <w:szCs w:val="24"/>
        </w:rPr>
        <w:t>outubro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03D" w:rsidRDefault="002E703D" w:rsidP="008166A0">
      <w:r>
        <w:separator/>
      </w:r>
    </w:p>
  </w:endnote>
  <w:endnote w:type="continuationSeparator" w:id="0">
    <w:p w:rsidR="002E703D" w:rsidRDefault="002E703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42B9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42B92" w:rsidRPr="00E42A39">
      <w:rPr>
        <w:rFonts w:ascii="Calibri" w:hAnsi="Calibri"/>
        <w:b/>
        <w:bCs/>
        <w:sz w:val="24"/>
        <w:szCs w:val="24"/>
      </w:rPr>
      <w:fldChar w:fldCharType="separate"/>
    </w:r>
    <w:r w:rsidR="00D26C3E">
      <w:rPr>
        <w:rFonts w:ascii="Calibri" w:hAnsi="Calibri"/>
        <w:b/>
        <w:bCs/>
        <w:noProof/>
      </w:rPr>
      <w:t>2</w:t>
    </w:r>
    <w:r w:rsidR="00242B9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42B9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42B92" w:rsidRPr="00E42A39">
      <w:rPr>
        <w:rFonts w:ascii="Calibri" w:hAnsi="Calibri"/>
        <w:b/>
        <w:bCs/>
        <w:sz w:val="24"/>
        <w:szCs w:val="24"/>
      </w:rPr>
      <w:fldChar w:fldCharType="separate"/>
    </w:r>
    <w:r w:rsidR="00D26C3E">
      <w:rPr>
        <w:rFonts w:ascii="Calibri" w:hAnsi="Calibri"/>
        <w:b/>
        <w:bCs/>
        <w:noProof/>
      </w:rPr>
      <w:t>4</w:t>
    </w:r>
    <w:r w:rsidR="00242B92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03D" w:rsidRDefault="002E703D" w:rsidP="008166A0">
      <w:r>
        <w:separator/>
      </w:r>
    </w:p>
  </w:footnote>
  <w:footnote w:type="continuationSeparator" w:id="0">
    <w:p w:rsidR="002E703D" w:rsidRDefault="002E703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48BD"/>
    <w:rsid w:val="000074FE"/>
    <w:rsid w:val="00030E70"/>
    <w:rsid w:val="0003641C"/>
    <w:rsid w:val="00043D87"/>
    <w:rsid w:val="00046968"/>
    <w:rsid w:val="00063F0C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3F32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2B9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E703D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6FA4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84AEA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26C3E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D35D45-A6C3-4385-A618-A75CBEDA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ED48A-0A1E-48DF-9D7C-238BE6401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2019-10-09T18:04:00Z</cp:lastPrinted>
  <dcterms:created xsi:type="dcterms:W3CDTF">2019-10-10T18:59:00Z</dcterms:created>
  <dcterms:modified xsi:type="dcterms:W3CDTF">2019-10-10T18:59:00Z</dcterms:modified>
</cp:coreProperties>
</file>