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8.896, de 16 de março de 2017 (Cria o Comitê Municipal de Gestão Democrática), de modo a prever que o Chefe do Poder Executivo indicará os membros do órgão representado no Comitê quando não houver candidatos suficientes inscritos para concorrerem à eleição.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988" w:rsidRDefault="00413988" w:rsidP="00126850">
      <w:pPr>
        <w:spacing w:line="240" w:lineRule="auto"/>
      </w:pPr>
      <w:r>
        <w:separator/>
      </w:r>
    </w:p>
  </w:endnote>
  <w:endnote w:type="continuationSeparator" w:id="0">
    <w:p w:rsidR="00413988" w:rsidRDefault="0041398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A13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A13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988" w:rsidRDefault="00413988" w:rsidP="00126850">
      <w:pPr>
        <w:spacing w:line="240" w:lineRule="auto"/>
      </w:pPr>
      <w:r>
        <w:separator/>
      </w:r>
    </w:p>
  </w:footnote>
  <w:footnote w:type="continuationSeparator" w:id="0">
    <w:p w:rsidR="00413988" w:rsidRDefault="0041398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13B7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3988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272AC-3B8E-4D67-B9D5-234EBD79E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2019-10-10T19:24:00Z</dcterms:modified>
</cp:coreProperties>
</file>