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 aos empregados públicos da Administração Pública Municipal Direta e Indireta auxílio para contratação de plano de saúde, e dá outras providências.</w:t>
      </w:r>
    </w:p>
    <w:p w:rsidR="00B82381" w:rsidRDefault="00B8238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B82381" w:rsidRPr="00136F9D" w:rsidRDefault="00B82381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B8238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73B" w:rsidRDefault="005E073B" w:rsidP="00126850">
      <w:pPr>
        <w:spacing w:line="240" w:lineRule="auto"/>
      </w:pPr>
      <w:r>
        <w:separator/>
      </w:r>
    </w:p>
  </w:endnote>
  <w:endnote w:type="continuationSeparator" w:id="0">
    <w:p w:rsidR="005E073B" w:rsidRDefault="005E073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23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23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73B" w:rsidRDefault="005E073B" w:rsidP="00126850">
      <w:pPr>
        <w:spacing w:line="240" w:lineRule="auto"/>
      </w:pPr>
      <w:r>
        <w:separator/>
      </w:r>
    </w:p>
  </w:footnote>
  <w:footnote w:type="continuationSeparator" w:id="0">
    <w:p w:rsidR="005E073B" w:rsidRDefault="005E073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073B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381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AAB9-0257-43AA-8C45-BD18214F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2019-09-12T23:31:00Z</dcterms:modified>
</cp:coreProperties>
</file>