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R$ 2.772.594,75 (dois milhões, setecentos e setenta e dois mil, quinhentos e noventa e quatro reais e setenta e cinco centavos), para as ações de Vigilância em Saúde e na Atenção Primária em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B02" w:rsidRDefault="00B41B02" w:rsidP="00126850">
      <w:pPr>
        <w:spacing w:line="240" w:lineRule="auto"/>
      </w:pPr>
      <w:r>
        <w:separator/>
      </w:r>
    </w:p>
  </w:endnote>
  <w:endnote w:type="continuationSeparator" w:id="0">
    <w:p w:rsidR="00B41B02" w:rsidRDefault="00B41B0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246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246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B02" w:rsidRDefault="00B41B02" w:rsidP="00126850">
      <w:pPr>
        <w:spacing w:line="240" w:lineRule="auto"/>
      </w:pPr>
      <w:r>
        <w:separator/>
      </w:r>
    </w:p>
  </w:footnote>
  <w:footnote w:type="continuationSeparator" w:id="0">
    <w:p w:rsidR="00B41B02" w:rsidRDefault="00B41B0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246C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1B02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19C5-CBE8-40B3-B87A-8CE29477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2019-09-12T22:45:00Z</dcterms:modified>
</cp:coreProperties>
</file>