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56CB7">
        <w:rPr>
          <w:rFonts w:ascii="Arial" w:hAnsi="Arial" w:cs="Arial"/>
          <w:sz w:val="24"/>
          <w:szCs w:val="24"/>
        </w:rPr>
        <w:t>1</w:t>
      </w:r>
      <w:r w:rsidR="0035753F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Pr="00EF7583">
        <w:rPr>
          <w:rFonts w:ascii="Arial" w:hAnsi="Arial" w:cs="Arial"/>
          <w:sz w:val="24"/>
          <w:szCs w:val="24"/>
        </w:rPr>
        <w:t xml:space="preserve"> de </w:t>
      </w:r>
      <w:r w:rsidR="0035753F">
        <w:rPr>
          <w:rFonts w:ascii="Arial" w:hAnsi="Arial" w:cs="Arial"/>
          <w:sz w:val="24"/>
          <w:szCs w:val="24"/>
        </w:rPr>
        <w:t>setembro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5753F">
        <w:rPr>
          <w:rFonts w:ascii="Arial" w:hAnsi="Arial" w:cs="Arial"/>
          <w:sz w:val="24"/>
          <w:szCs w:val="24"/>
        </w:rPr>
        <w:t>2</w:t>
      </w:r>
      <w:r w:rsidR="00CA71C6">
        <w:rPr>
          <w:rFonts w:ascii="Arial" w:hAnsi="Arial" w:cs="Arial"/>
          <w:sz w:val="24"/>
          <w:szCs w:val="24"/>
        </w:rPr>
        <w:t>9</w:t>
      </w:r>
      <w:r w:rsidR="0035753F">
        <w:rPr>
          <w:rFonts w:ascii="Arial" w:hAnsi="Arial" w:cs="Arial"/>
          <w:sz w:val="24"/>
          <w:szCs w:val="24"/>
        </w:rPr>
        <w:t>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5753F">
        <w:rPr>
          <w:b/>
          <w:bCs/>
          <w:sz w:val="32"/>
          <w:szCs w:val="32"/>
        </w:rPr>
        <w:t>2</w:t>
      </w:r>
      <w:r w:rsidR="00CA71C6">
        <w:rPr>
          <w:b/>
          <w:bCs/>
          <w:sz w:val="32"/>
          <w:szCs w:val="32"/>
        </w:rPr>
        <w:t>9</w:t>
      </w:r>
      <w:r w:rsidR="0035753F">
        <w:rPr>
          <w:b/>
          <w:bCs/>
          <w:sz w:val="32"/>
          <w:szCs w:val="32"/>
        </w:rPr>
        <w:t>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CA71C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A71C6">
        <w:rPr>
          <w:rFonts w:ascii="Arial" w:hAnsi="Arial" w:cs="Arial"/>
          <w:sz w:val="22"/>
          <w:szCs w:val="22"/>
        </w:rPr>
        <w:t>Regulamenta o Grupo de Análise e Aprovação de Projetos e Diretrizes Urbanísticas de Araraquara (</w:t>
      </w:r>
      <w:proofErr w:type="spellStart"/>
      <w:r w:rsidRPr="00CA71C6">
        <w:rPr>
          <w:rFonts w:ascii="Arial" w:hAnsi="Arial" w:cs="Arial"/>
          <w:sz w:val="22"/>
          <w:szCs w:val="22"/>
        </w:rPr>
        <w:t>Grapoara</w:t>
      </w:r>
      <w:proofErr w:type="spellEnd"/>
      <w:r w:rsidRPr="00CA71C6">
        <w:rPr>
          <w:rFonts w:ascii="Arial" w:hAnsi="Arial" w:cs="Arial"/>
          <w:sz w:val="22"/>
          <w:szCs w:val="22"/>
        </w:rPr>
        <w:t>), doravante denominado Grupo de Análise e Aprovação de Projetos e Diretrizes Urbanísticas de Araraquara (</w:t>
      </w:r>
      <w:proofErr w:type="spellStart"/>
      <w:r w:rsidRPr="00CA71C6">
        <w:rPr>
          <w:rFonts w:ascii="Arial" w:hAnsi="Arial" w:cs="Arial"/>
          <w:sz w:val="22"/>
          <w:szCs w:val="22"/>
        </w:rPr>
        <w:t>Graproara</w:t>
      </w:r>
      <w:proofErr w:type="spellEnd"/>
      <w:r w:rsidRPr="00CA71C6">
        <w:rPr>
          <w:rFonts w:ascii="Arial" w:hAnsi="Arial" w:cs="Arial"/>
          <w:sz w:val="22"/>
          <w:szCs w:val="22"/>
        </w:rPr>
        <w:t>),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CAPÍTULO I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DO GRUPO DE ANÁLISE E APROVAÇÃO DE PROJETOS E DIRETRIZES URBANÍSTICAS DE ARARAQUARA – GRAPROARA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CA71C6">
        <w:rPr>
          <w:rFonts w:ascii="Arial" w:hAnsi="Arial" w:cs="Arial"/>
          <w:sz w:val="24"/>
          <w:szCs w:val="24"/>
        </w:rPr>
        <w:t>º  Fica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regulamentado o Grupo de Análise e Aprovação de Projetos e Diretrizes Urbanísticas de Araraquara (</w:t>
      </w:r>
      <w:proofErr w:type="spellStart"/>
      <w:r w:rsidRPr="00CA71C6">
        <w:rPr>
          <w:rFonts w:ascii="Arial" w:hAnsi="Arial" w:cs="Arial"/>
          <w:sz w:val="24"/>
          <w:szCs w:val="24"/>
        </w:rPr>
        <w:t>Grapoara</w:t>
      </w:r>
      <w:proofErr w:type="spellEnd"/>
      <w:r w:rsidRPr="00CA71C6">
        <w:rPr>
          <w:rFonts w:ascii="Arial" w:hAnsi="Arial" w:cs="Arial"/>
          <w:sz w:val="24"/>
          <w:szCs w:val="24"/>
        </w:rPr>
        <w:t>), doravante denominado Grupo de Análise e Aprovação de Projetos e Diretrizes Urbanísticas de Araraquara (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>), nos termos do art. 188 da Lei Complementar nº 850, de 11 de fevereiro de 2014.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 xml:space="preserve">Parágrafo único.  O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subordina-se à Secretaria Municipal de Desenvolvimento Urbano.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CA71C6">
        <w:rPr>
          <w:rFonts w:ascii="Arial" w:hAnsi="Arial" w:cs="Arial"/>
          <w:sz w:val="24"/>
          <w:szCs w:val="24"/>
        </w:rPr>
        <w:t>º  O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tem por objetivo centralizar, coordenar, integrar e agilizar o ciclo de produção e o trâmite de análise dos projetos, dos empreendimentos, dos estudos e dos relatórios de impacto e viabilidade urbanística apresentados para apreciação da Administração Pública Municipal.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CAPÍTULO II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DAS ATRIBUIÇÕES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CA71C6">
        <w:rPr>
          <w:rFonts w:ascii="Arial" w:hAnsi="Arial" w:cs="Arial"/>
          <w:sz w:val="24"/>
          <w:szCs w:val="24"/>
        </w:rPr>
        <w:t>º  O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tem por atribuições: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 xml:space="preserve">I – zelar pela aplicação, execução, fiscalização e gestão da legislação urbana e ambiental e dos demais instrumentos de controle urbanístico e de ação compartilhada, bem como instrumentos do sistema de planejamento, de acordo com a Lei Federal nº 10.257, de 10 de julho de 2001;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 xml:space="preserve">II – apreciar, debater, avaliar e deliberar sobre matérias e instrumentos relacionados a estudos, análise e avaliação de projetos especiais de transformação urbana, diretrizes para revisão de regimes urbanísticos de uso do solo, operações urbanas público-privadas, avaliação de empreendimentos de impacto urbano-ambiental, </w:t>
      </w:r>
      <w:r w:rsidRPr="00CA71C6">
        <w:rPr>
          <w:rFonts w:ascii="Arial" w:hAnsi="Arial" w:cs="Arial"/>
          <w:sz w:val="24"/>
          <w:szCs w:val="24"/>
        </w:rPr>
        <w:lastRenderedPageBreak/>
        <w:t xml:space="preserve">de estudos de impacto de vizinhança, áreas especiais de interesse social, cultural e ambiental;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III – deliberar sobre a solicitação de outorga onerosa do direito de construir no município de Araraquara, nos termos da Lei Complementar nº 852, de 11 de fevereiro de 2014;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IV – deliberar sobre assuntos de grande impacto como Relatórios de Impacto de Vizinhança (RIV), loteamentos, projetos públicos e/ou privados, definindo sobre a necessidade de encaminhamento ao Conselho Municipal de Planejamento e Política Urbana Ambiental de Araraquara (</w:t>
      </w:r>
      <w:proofErr w:type="spellStart"/>
      <w:r w:rsidRPr="00CA71C6">
        <w:rPr>
          <w:rFonts w:ascii="Arial" w:hAnsi="Arial" w:cs="Arial"/>
          <w:sz w:val="24"/>
          <w:szCs w:val="24"/>
        </w:rPr>
        <w:t>Compua</w:t>
      </w:r>
      <w:proofErr w:type="spellEnd"/>
      <w:r w:rsidRPr="00CA71C6">
        <w:rPr>
          <w:rFonts w:ascii="Arial" w:hAnsi="Arial" w:cs="Arial"/>
          <w:sz w:val="24"/>
          <w:szCs w:val="24"/>
        </w:rPr>
        <w:t>); e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 xml:space="preserve">V – deliberar acerca de projetos de parcelamento do solo no que tange aos impactos de vizinhança, de trânsito e social do parcelamento.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CAPÍTULO III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DA COMPOSIÇÃO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CA71C6">
        <w:rPr>
          <w:rFonts w:ascii="Arial" w:hAnsi="Arial" w:cs="Arial"/>
          <w:sz w:val="24"/>
          <w:szCs w:val="24"/>
        </w:rPr>
        <w:t>º  O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é composto por 11 (onze) membros titulares e seus respectivos suplentes, todos servidores municipais em efetivo exercício, na seguinte proporção: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 – titular da Secretaria Municipal de Desenvolvimento Urbano;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 xml:space="preserve">II – 2 (dois) membros pertencentes à Coordenadoria Executiva de Planejamento Urbano, indicados pelo titular da Secretaria Municipal de Desenvolvimento Urbano;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III – 2 (dois) membros pertencentes à Coordenadoria Executiva de Edificações, indicados pelo titular da Secretaria Municipal de Desenvolvimento Urbano;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IV – 1 (um) membro pertencente à Coordenadoria Executiva de Habitação, indicado pelo titular da Secretaria Municipal de Desenvolvimento Urbano;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V – 1 (um) membro pertencente à Coordenadoria Executiva de Mobilidade Urbana, indicado pelo titular da Secretaria Municipal de Desenvolvimento Urbano;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VI – 1 (um) membro pertencente à Coordenadoria Executiva de Obras Públicas, indicado pelo titular da Secretaria Municipal de Obras e Serviços Públicos;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VII – 1 (um) membro pertencente à Gerência de Obras Viárias e Drenagem, indicado pelo titular da Secretaria Municipal de Obras e Serviços Públicos;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VIII – 1 (um) membro da Diretoria de Gestão Ambiental do Departamento Autônomo de Água e Esgotos (</w:t>
      </w:r>
      <w:proofErr w:type="spellStart"/>
      <w:r w:rsidRPr="00CA71C6">
        <w:rPr>
          <w:rFonts w:ascii="Arial" w:hAnsi="Arial" w:cs="Arial"/>
          <w:sz w:val="24"/>
          <w:szCs w:val="24"/>
        </w:rPr>
        <w:t>Daae</w:t>
      </w:r>
      <w:proofErr w:type="spellEnd"/>
      <w:r w:rsidRPr="00CA71C6">
        <w:rPr>
          <w:rFonts w:ascii="Arial" w:hAnsi="Arial" w:cs="Arial"/>
          <w:sz w:val="24"/>
          <w:szCs w:val="24"/>
        </w:rPr>
        <w:t>), indicado pelo titular da Superintendência da autarquia; e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 xml:space="preserve">IX – 1 (um) membro da Diretoria Técnica de Planejamento Estratégico do </w:t>
      </w:r>
      <w:proofErr w:type="spellStart"/>
      <w:r w:rsidRPr="00CA71C6">
        <w:rPr>
          <w:rFonts w:ascii="Arial" w:hAnsi="Arial" w:cs="Arial"/>
          <w:sz w:val="24"/>
          <w:szCs w:val="24"/>
        </w:rPr>
        <w:t>Daae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, indicado pelo titular da Superintendência da autarquia.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CA71C6">
        <w:rPr>
          <w:rFonts w:ascii="Arial" w:hAnsi="Arial" w:cs="Arial"/>
          <w:sz w:val="24"/>
          <w:szCs w:val="24"/>
        </w:rPr>
        <w:t>º  A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cada membro titular corresponderá um membro suplente, que o substituirá em seus impedimentos e ausências, indicado nas mesmas condições dos membros titulares.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CA71C6">
        <w:rPr>
          <w:rFonts w:ascii="Arial" w:hAnsi="Arial" w:cs="Arial"/>
          <w:sz w:val="24"/>
          <w:szCs w:val="24"/>
        </w:rPr>
        <w:t>º  O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prazo de mandato dos membros do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será de 3 (três) anos, permitida a recondução.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lastRenderedPageBreak/>
        <w:tab/>
      </w:r>
      <w:r w:rsidRPr="00CA71C6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CA71C6">
        <w:rPr>
          <w:rFonts w:ascii="Arial" w:hAnsi="Arial" w:cs="Arial"/>
          <w:sz w:val="24"/>
          <w:szCs w:val="24"/>
        </w:rPr>
        <w:t>º  Os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membros titulares e suplentes não receberão remuneração pelo exercício da função, que será considerada como de relevante interesse público.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CA71C6">
        <w:rPr>
          <w:rFonts w:ascii="Arial" w:hAnsi="Arial" w:cs="Arial"/>
          <w:sz w:val="24"/>
          <w:szCs w:val="24"/>
        </w:rPr>
        <w:t>º  Os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membros do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atuarão dentro dos limites de atribuição pertinentes aos órgãos e setores que representam, podendo analisar, deliberar ou fundamentar parecer técnico sobre os projetos submetidos à apreciação do grupo, quanto à: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 – expedição de relatório de exigências;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II – formulação de exigências;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III – proposição de medidas de adequação às normas vigentes;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IV –proposição e aprovação da expedição de instrumentos e resoluções normativas; e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 xml:space="preserve">VI – aprovação de indicações.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CA71C6">
        <w:rPr>
          <w:rFonts w:ascii="Arial" w:hAnsi="Arial" w:cs="Arial"/>
          <w:sz w:val="24"/>
          <w:szCs w:val="24"/>
        </w:rPr>
        <w:t>º  O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contará com uma diretoria composta por: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 – 1 (um) presidente;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 xml:space="preserve">II – 1 (um) vice-presidente; e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III – 1 (um) secretário.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CA71C6">
        <w:rPr>
          <w:rFonts w:ascii="Arial" w:hAnsi="Arial" w:cs="Arial"/>
          <w:sz w:val="24"/>
          <w:szCs w:val="24"/>
        </w:rPr>
        <w:t>º  A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presidência será exercida pelo titular da Secretaria Municipal de Desenvolvimento Urbano.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CA71C6">
        <w:rPr>
          <w:rFonts w:ascii="Arial" w:hAnsi="Arial" w:cs="Arial"/>
          <w:sz w:val="24"/>
          <w:szCs w:val="24"/>
        </w:rPr>
        <w:t>º  A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vice-presidência e a secretaria serão eleitas, por meio de votação, por maioria simples, entre membros presentes à primeira reunião após a efetiva instalação do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>, devendo cumprir mandato de 3 (três) anos, permitida uma única reeleição.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CA71C6">
        <w:rPr>
          <w:rFonts w:ascii="Arial" w:hAnsi="Arial" w:cs="Arial"/>
          <w:sz w:val="24"/>
          <w:szCs w:val="24"/>
        </w:rPr>
        <w:t>º  Os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membros eleitos para a diretoria serão empossados no primeiro dia útil após a proclamação do resultado da eleição.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CAPÍTULO IV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DAS REUNIÕES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 xml:space="preserve">Art. 7º O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se reunirá, em caráter ordinário, uma vez por semana para deliberação.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CA71C6">
        <w:rPr>
          <w:rFonts w:ascii="Arial" w:hAnsi="Arial" w:cs="Arial"/>
          <w:sz w:val="24"/>
          <w:szCs w:val="24"/>
        </w:rPr>
        <w:t>º  As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reuniões do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serão fechadas, sendo assegurado, a todos os membros, o direito a voz e a voto.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CA71C6">
        <w:rPr>
          <w:rFonts w:ascii="Arial" w:hAnsi="Arial" w:cs="Arial"/>
          <w:sz w:val="24"/>
          <w:szCs w:val="24"/>
        </w:rPr>
        <w:t>º  Por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convocação ou a convite de um dos membros do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, qualquer pessoa poderá participar das reuniões, agente público ou privado, técnico ou intermediário, que represente os interesses do requerente ou interessado na tramitação de processos protocolados junto ao município.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lastRenderedPageBreak/>
        <w:tab/>
      </w:r>
      <w:r w:rsidRPr="00CA71C6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CA71C6">
        <w:rPr>
          <w:rFonts w:ascii="Arial" w:hAnsi="Arial" w:cs="Arial"/>
          <w:sz w:val="24"/>
          <w:szCs w:val="24"/>
        </w:rPr>
        <w:t>º  O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convite e a convocação dispostos no § 2º deste artigo serão decididos pela maioria dos membros do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e o agente autorizado atuará especificamente no assunto para o qual foi convocado ou convidado. 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§ 4</w:t>
      </w:r>
      <w:proofErr w:type="gramStart"/>
      <w:r w:rsidRPr="00CA71C6">
        <w:rPr>
          <w:rFonts w:ascii="Arial" w:hAnsi="Arial" w:cs="Arial"/>
          <w:sz w:val="24"/>
          <w:szCs w:val="24"/>
        </w:rPr>
        <w:t>º  Nas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reuniões, os membros se responsabilizarão pela obtenção dos pareceres técnicos, circunstanciados e conclusivos, bem como pelas manifestações a respeito dos projetos apresentados e protocolados pelos órgãos e entidades que representam, nos prazos determinados.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CA71C6">
        <w:rPr>
          <w:rFonts w:ascii="Arial" w:hAnsi="Arial" w:cs="Arial"/>
          <w:b/>
          <w:sz w:val="24"/>
          <w:szCs w:val="24"/>
        </w:rPr>
        <w:t>Seção Única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CA71C6">
        <w:rPr>
          <w:rFonts w:ascii="Arial" w:hAnsi="Arial" w:cs="Arial"/>
          <w:b/>
          <w:sz w:val="24"/>
          <w:szCs w:val="24"/>
        </w:rPr>
        <w:t>Das deliberações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Art. 8</w:t>
      </w:r>
      <w:proofErr w:type="gramStart"/>
      <w:r w:rsidRPr="00CA71C6">
        <w:rPr>
          <w:rFonts w:ascii="Arial" w:hAnsi="Arial" w:cs="Arial"/>
          <w:sz w:val="24"/>
          <w:szCs w:val="24"/>
        </w:rPr>
        <w:t>º  As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deliberações do </w:t>
      </w:r>
      <w:proofErr w:type="spellStart"/>
      <w:r w:rsidRPr="00CA71C6">
        <w:rPr>
          <w:rFonts w:ascii="Arial" w:hAnsi="Arial" w:cs="Arial"/>
          <w:sz w:val="24"/>
          <w:szCs w:val="24"/>
        </w:rPr>
        <w:t>Graproara</w:t>
      </w:r>
      <w:proofErr w:type="spellEnd"/>
      <w:r w:rsidRPr="00CA71C6">
        <w:rPr>
          <w:rFonts w:ascii="Arial" w:hAnsi="Arial" w:cs="Arial"/>
          <w:sz w:val="24"/>
          <w:szCs w:val="24"/>
        </w:rPr>
        <w:t xml:space="preserve"> dar-se-ão por maioria simples dos votos dos membros titulares, incluso o do Presidente, e dos suplentes quando em substituição.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Parágrafo único.  Apenas os membros terão direito ao voto, não sendo permitido o acúmulo de voto.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CAPÍTULO V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>DAS DISPOSIÇÕES FINAIS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Art. 9</w:t>
      </w:r>
      <w:proofErr w:type="gramStart"/>
      <w:r w:rsidRPr="00CA71C6">
        <w:rPr>
          <w:rFonts w:ascii="Arial" w:hAnsi="Arial" w:cs="Arial"/>
          <w:sz w:val="24"/>
          <w:szCs w:val="24"/>
        </w:rPr>
        <w:t>º  Fica</w:t>
      </w:r>
      <w:proofErr w:type="gramEnd"/>
      <w:r w:rsidRPr="00CA71C6">
        <w:rPr>
          <w:rFonts w:ascii="Arial" w:hAnsi="Arial" w:cs="Arial"/>
          <w:sz w:val="24"/>
          <w:szCs w:val="24"/>
        </w:rPr>
        <w:t xml:space="preserve"> revogado o Decreto nº 8.152, de 19 de julho de 2004.</w:t>
      </w: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1C6" w:rsidRPr="00CA71C6" w:rsidRDefault="00CA71C6" w:rsidP="00CA71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1C6">
        <w:rPr>
          <w:rFonts w:ascii="Arial" w:hAnsi="Arial" w:cs="Arial"/>
          <w:sz w:val="24"/>
          <w:szCs w:val="24"/>
        </w:rPr>
        <w:tab/>
      </w:r>
      <w:r w:rsidRPr="00CA71C6">
        <w:rPr>
          <w:rFonts w:ascii="Arial" w:hAnsi="Arial" w:cs="Arial"/>
          <w:sz w:val="24"/>
          <w:szCs w:val="24"/>
        </w:rPr>
        <w:tab/>
        <w:t>Art. 10.  Esta lei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5753F"/>
    <w:rsid w:val="003F07FB"/>
    <w:rsid w:val="00401ED0"/>
    <w:rsid w:val="004423DA"/>
    <w:rsid w:val="004D58A3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56CB7"/>
    <w:rsid w:val="00970EA1"/>
    <w:rsid w:val="009C6450"/>
    <w:rsid w:val="009E0C3A"/>
    <w:rsid w:val="00A00141"/>
    <w:rsid w:val="00A21A11"/>
    <w:rsid w:val="00AB6A5E"/>
    <w:rsid w:val="00AE69B6"/>
    <w:rsid w:val="00BC755B"/>
    <w:rsid w:val="00BD580E"/>
    <w:rsid w:val="00C110DC"/>
    <w:rsid w:val="00C169CA"/>
    <w:rsid w:val="00C622BE"/>
    <w:rsid w:val="00C80339"/>
    <w:rsid w:val="00CA71C6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1078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66</cp:revision>
  <cp:lastPrinted>1998-11-10T17:41:00Z</cp:lastPrinted>
  <dcterms:created xsi:type="dcterms:W3CDTF">2017-03-28T14:59:00Z</dcterms:created>
  <dcterms:modified xsi:type="dcterms:W3CDTF">2019-09-10T13:36:00Z</dcterms:modified>
</cp:coreProperties>
</file>