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os procedimentos a serem adotados, no âmbito da gestão municipal do Sistema Único de Saúde, na prescrição e na dispensação de medicamentos, exames e de procedimentos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510" w:rsidRDefault="000D0510" w:rsidP="00126850">
      <w:pPr>
        <w:spacing w:line="240" w:lineRule="auto"/>
      </w:pPr>
      <w:r>
        <w:separator/>
      </w:r>
    </w:p>
  </w:endnote>
  <w:endnote w:type="continuationSeparator" w:id="0">
    <w:p w:rsidR="000D0510" w:rsidRDefault="000D051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E76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E76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510" w:rsidRDefault="000D0510" w:rsidP="00126850">
      <w:pPr>
        <w:spacing w:line="240" w:lineRule="auto"/>
      </w:pPr>
      <w:r>
        <w:separator/>
      </w:r>
    </w:p>
  </w:footnote>
  <w:footnote w:type="continuationSeparator" w:id="0">
    <w:p w:rsidR="000D0510" w:rsidRDefault="000D051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0510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E767A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CA08F-8129-4227-91FD-441EAB10A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2019-09-05T23:42:00Z</dcterms:modified>
</cp:coreProperties>
</file>