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381/2019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9.657, de 18 de julho de 2019 (reformula a Comissão Municipal de Combate ao Assédio e à Discriminação), de modo a prever excepcional hipótese de extensão do mandato dos membros titulares e suplentes e da diretoria.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6C7" w:rsidRDefault="008916C7" w:rsidP="00126850">
      <w:pPr>
        <w:spacing w:line="240" w:lineRule="auto"/>
      </w:pPr>
      <w:r>
        <w:separator/>
      </w:r>
    </w:p>
  </w:endnote>
  <w:endnote w:type="continuationSeparator" w:id="0">
    <w:p w:rsidR="008916C7" w:rsidRDefault="008916C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1A6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1A6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6C7" w:rsidRDefault="008916C7" w:rsidP="00126850">
      <w:pPr>
        <w:spacing w:line="240" w:lineRule="auto"/>
      </w:pPr>
      <w:r>
        <w:separator/>
      </w:r>
    </w:p>
  </w:footnote>
  <w:footnote w:type="continuationSeparator" w:id="0">
    <w:p w:rsidR="008916C7" w:rsidRDefault="008916C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1A62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16C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B1EAD-7CE2-4271-B233-1455AE21A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2019-09-05T23:06:00Z</dcterms:modified>
</cp:coreProperties>
</file>