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THAINARA KAROLINE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Estratégia de Saúde da Família”, a ser comemorado anualmente no dia 04 de outubro,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75B81" w:rsidRDefault="00575B8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75B81" w:rsidRPr="001B5DD7" w:rsidRDefault="00575B8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084" w:rsidRDefault="000E1084" w:rsidP="00126850">
      <w:pPr>
        <w:spacing w:line="240" w:lineRule="auto"/>
      </w:pPr>
      <w:r>
        <w:separator/>
      </w:r>
    </w:p>
  </w:endnote>
  <w:endnote w:type="continuationSeparator" w:id="0">
    <w:p w:rsidR="000E1084" w:rsidRDefault="000E108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5B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5B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084" w:rsidRDefault="000E1084" w:rsidP="00126850">
      <w:pPr>
        <w:spacing w:line="240" w:lineRule="auto"/>
      </w:pPr>
      <w:r>
        <w:separator/>
      </w:r>
    </w:p>
  </w:footnote>
  <w:footnote w:type="continuationSeparator" w:id="0">
    <w:p w:rsidR="000E1084" w:rsidRDefault="000E108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108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5B81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F5540-6B12-4DCE-9DDD-96DA1C8A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2019-09-05T21:36:00Z</dcterms:modified>
</cp:coreProperties>
</file>