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D5695E" w:rsidP="00857790">
      <w:pPr>
        <w:rPr>
          <w:rFonts w:ascii="Calibri" w:eastAsia="Arial Unicode MS" w:hAnsi="Calibri" w:cs="Calibri"/>
          <w:sz w:val="24"/>
          <w:szCs w:val="24"/>
        </w:rPr>
      </w:pPr>
      <w:r w:rsidRPr="00D5695E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</w:pict>
      </w:r>
      <w:r w:rsidRPr="00D5695E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</w:pict>
      </w:r>
      <w:r w:rsidRPr="00D5695E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</w:pict>
      </w:r>
      <w:r w:rsidRPr="00D5695E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</w:pict>
      </w:r>
      <w:r w:rsidRPr="00D5695E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</w:pict>
      </w:r>
      <w:r w:rsidRPr="00D5695E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</w:pict>
      </w:r>
      <w:r w:rsidRPr="00D5695E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</w:pict>
      </w:r>
      <w:r w:rsidRPr="00D5695E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</w:pict>
      </w:r>
      <w:r w:rsidRPr="00D5695E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 w:rsidRPr="00D5695E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 w:rsidRPr="00D5695E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</w:pict>
      </w:r>
      <w:r w:rsidRPr="00D5695E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 w:rsidRPr="00D5695E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</w:pict>
      </w:r>
      <w:r w:rsidRPr="00D5695E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CE08AC">
        <w:rPr>
          <w:rFonts w:ascii="Calibri" w:eastAsia="Arial Unicode MS" w:hAnsi="Calibri" w:cs="Calibri"/>
          <w:b/>
          <w:sz w:val="24"/>
          <w:szCs w:val="24"/>
        </w:rPr>
        <w:t>1</w:t>
      </w:r>
      <w:r w:rsidR="00FC3E68">
        <w:rPr>
          <w:rFonts w:ascii="Calibri" w:eastAsia="Arial Unicode MS" w:hAnsi="Calibri" w:cs="Calibri"/>
          <w:b/>
          <w:sz w:val="24"/>
          <w:szCs w:val="24"/>
        </w:rPr>
        <w:t>5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CE08AC">
        <w:rPr>
          <w:rFonts w:ascii="Calibri" w:eastAsia="Arial Unicode MS" w:hAnsi="Calibri" w:cs="Calibri"/>
          <w:sz w:val="24"/>
          <w:szCs w:val="24"/>
        </w:rPr>
        <w:t>8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F246B5" w:rsidRPr="00F246B5" w:rsidRDefault="00275F8F" w:rsidP="004D7E8C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F246B5" w:rsidRPr="00F246B5">
        <w:rPr>
          <w:rFonts w:ascii="Calibri" w:hAnsi="Calibri" w:cs="Calibri"/>
          <w:sz w:val="24"/>
          <w:szCs w:val="24"/>
        </w:rPr>
        <w:t>até o limite de R$ 400.0</w:t>
      </w:r>
      <w:r w:rsidR="004D7E8C">
        <w:rPr>
          <w:rFonts w:ascii="Calibri" w:hAnsi="Calibri" w:cs="Calibri"/>
          <w:sz w:val="24"/>
          <w:szCs w:val="24"/>
        </w:rPr>
        <w:t xml:space="preserve">00,00 (quatrocentos mil reais), </w:t>
      </w:r>
      <w:r w:rsidR="004D7E8C">
        <w:rPr>
          <w:rFonts w:ascii="Calibri" w:hAnsi="Calibri" w:cs="Calibri"/>
          <w:bCs/>
          <w:sz w:val="24"/>
          <w:szCs w:val="24"/>
        </w:rPr>
        <w:t>visando</w:t>
      </w:r>
      <w:r w:rsidR="00F246B5">
        <w:rPr>
          <w:rFonts w:ascii="Calibri" w:hAnsi="Calibri" w:cs="Calibri"/>
          <w:bCs/>
          <w:sz w:val="24"/>
          <w:szCs w:val="24"/>
        </w:rPr>
        <w:t xml:space="preserve"> ao</w:t>
      </w:r>
      <w:r w:rsidR="00F246B5" w:rsidRPr="00F246B5">
        <w:rPr>
          <w:rFonts w:ascii="Calibri" w:hAnsi="Calibri" w:cs="Calibri"/>
          <w:bCs/>
          <w:sz w:val="24"/>
          <w:szCs w:val="24"/>
        </w:rPr>
        <w:t xml:space="preserve"> credenciamento de</w:t>
      </w:r>
      <w:r w:rsidR="00F246B5">
        <w:rPr>
          <w:rFonts w:ascii="Calibri" w:hAnsi="Calibri" w:cs="Calibri"/>
          <w:bCs/>
          <w:sz w:val="24"/>
          <w:szCs w:val="24"/>
        </w:rPr>
        <w:t xml:space="preserve"> serviços hospitalares na rede p</w:t>
      </w:r>
      <w:r w:rsidR="00F246B5" w:rsidRPr="00F246B5">
        <w:rPr>
          <w:rFonts w:ascii="Calibri" w:hAnsi="Calibri" w:cs="Calibri"/>
          <w:bCs/>
          <w:sz w:val="24"/>
          <w:szCs w:val="24"/>
        </w:rPr>
        <w:t xml:space="preserve">articular, para </w:t>
      </w:r>
      <w:r w:rsidR="00F246B5">
        <w:rPr>
          <w:rFonts w:ascii="Calibri" w:hAnsi="Calibri" w:cs="Calibri"/>
          <w:bCs/>
          <w:sz w:val="24"/>
          <w:szCs w:val="24"/>
        </w:rPr>
        <w:t>i</w:t>
      </w:r>
      <w:r w:rsidR="00F246B5" w:rsidRPr="00F246B5">
        <w:rPr>
          <w:rFonts w:ascii="Calibri" w:hAnsi="Calibri" w:cs="Calibri"/>
          <w:bCs/>
          <w:sz w:val="24"/>
          <w:szCs w:val="24"/>
        </w:rPr>
        <w:t xml:space="preserve">nternações de </w:t>
      </w:r>
      <w:r w:rsidR="00F246B5">
        <w:rPr>
          <w:rFonts w:ascii="Calibri" w:hAnsi="Calibri" w:cs="Calibri"/>
          <w:bCs/>
          <w:sz w:val="24"/>
          <w:szCs w:val="24"/>
        </w:rPr>
        <w:t>u</w:t>
      </w:r>
      <w:r w:rsidR="00F246B5" w:rsidRPr="00F246B5">
        <w:rPr>
          <w:rFonts w:ascii="Calibri" w:hAnsi="Calibri" w:cs="Calibri"/>
          <w:bCs/>
          <w:sz w:val="24"/>
          <w:szCs w:val="24"/>
        </w:rPr>
        <w:t>rgência/</w:t>
      </w:r>
      <w:r w:rsidR="00F246B5">
        <w:rPr>
          <w:rFonts w:ascii="Calibri" w:hAnsi="Calibri" w:cs="Calibri"/>
          <w:bCs/>
          <w:sz w:val="24"/>
          <w:szCs w:val="24"/>
        </w:rPr>
        <w:t>e</w:t>
      </w:r>
      <w:r w:rsidR="00F246B5" w:rsidRPr="00F246B5">
        <w:rPr>
          <w:rFonts w:ascii="Calibri" w:hAnsi="Calibri" w:cs="Calibri"/>
          <w:bCs/>
          <w:sz w:val="24"/>
          <w:szCs w:val="24"/>
        </w:rPr>
        <w:t xml:space="preserve">mergência, quando não </w:t>
      </w:r>
      <w:r w:rsidR="00F246B5">
        <w:rPr>
          <w:rFonts w:ascii="Calibri" w:hAnsi="Calibri" w:cs="Calibri"/>
          <w:bCs/>
          <w:sz w:val="24"/>
          <w:szCs w:val="24"/>
        </w:rPr>
        <w:t>houver</w:t>
      </w:r>
      <w:r w:rsidR="00F246B5" w:rsidRPr="00F246B5">
        <w:rPr>
          <w:rFonts w:ascii="Calibri" w:hAnsi="Calibri" w:cs="Calibri"/>
          <w:bCs/>
          <w:sz w:val="24"/>
          <w:szCs w:val="24"/>
        </w:rPr>
        <w:t xml:space="preserve"> leitos desta natureza </w:t>
      </w:r>
      <w:r w:rsidR="00F246B5">
        <w:rPr>
          <w:rFonts w:ascii="Calibri" w:hAnsi="Calibri" w:cs="Calibri"/>
          <w:bCs/>
          <w:sz w:val="24"/>
          <w:szCs w:val="24"/>
        </w:rPr>
        <w:t>no</w:t>
      </w:r>
      <w:r w:rsidR="00F246B5" w:rsidRPr="00F246B5">
        <w:rPr>
          <w:rFonts w:ascii="Calibri" w:hAnsi="Calibri" w:cs="Calibri"/>
          <w:bCs/>
          <w:sz w:val="24"/>
          <w:szCs w:val="24"/>
        </w:rPr>
        <w:t xml:space="preserve"> SUS – Central de Regulação de Ofertas de Serviços de Saúde (CROSS).</w:t>
      </w:r>
    </w:p>
    <w:p w:rsidR="00F246B5" w:rsidRDefault="00F246B5" w:rsidP="00F246B5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É de notório conhecimento</w:t>
      </w:r>
      <w:r w:rsidRPr="00F246B5">
        <w:rPr>
          <w:rFonts w:ascii="Calibri" w:hAnsi="Calibri" w:cs="Calibri"/>
          <w:bCs/>
          <w:sz w:val="24"/>
          <w:szCs w:val="24"/>
        </w:rPr>
        <w:t xml:space="preserve"> a falta de </w:t>
      </w:r>
      <w:r>
        <w:rPr>
          <w:rFonts w:ascii="Calibri" w:hAnsi="Calibri" w:cs="Calibri"/>
          <w:bCs/>
          <w:sz w:val="24"/>
          <w:szCs w:val="24"/>
        </w:rPr>
        <w:t>l</w:t>
      </w:r>
      <w:r w:rsidRPr="00F246B5">
        <w:rPr>
          <w:rFonts w:ascii="Calibri" w:hAnsi="Calibri" w:cs="Calibri"/>
          <w:bCs/>
          <w:sz w:val="24"/>
          <w:szCs w:val="24"/>
        </w:rPr>
        <w:t xml:space="preserve">eitos de </w:t>
      </w:r>
      <w:r>
        <w:rPr>
          <w:rFonts w:ascii="Calibri" w:hAnsi="Calibri" w:cs="Calibri"/>
          <w:bCs/>
          <w:sz w:val="24"/>
          <w:szCs w:val="24"/>
        </w:rPr>
        <w:t>u</w:t>
      </w:r>
      <w:r w:rsidRPr="00F246B5">
        <w:rPr>
          <w:rFonts w:ascii="Calibri" w:hAnsi="Calibri" w:cs="Calibri"/>
          <w:bCs/>
          <w:sz w:val="24"/>
          <w:szCs w:val="24"/>
        </w:rPr>
        <w:t>rgência/</w:t>
      </w:r>
      <w:r>
        <w:rPr>
          <w:rFonts w:ascii="Calibri" w:hAnsi="Calibri" w:cs="Calibri"/>
          <w:bCs/>
          <w:sz w:val="24"/>
          <w:szCs w:val="24"/>
        </w:rPr>
        <w:t>e</w:t>
      </w:r>
      <w:r w:rsidRPr="00F246B5">
        <w:rPr>
          <w:rFonts w:ascii="Calibri" w:hAnsi="Calibri" w:cs="Calibri"/>
          <w:bCs/>
          <w:sz w:val="24"/>
          <w:szCs w:val="24"/>
        </w:rPr>
        <w:t xml:space="preserve">mergência do SUS, </w:t>
      </w:r>
      <w:r w:rsidR="005554FB">
        <w:rPr>
          <w:rFonts w:ascii="Calibri" w:hAnsi="Calibri" w:cs="Calibri"/>
          <w:bCs/>
          <w:sz w:val="24"/>
          <w:szCs w:val="24"/>
        </w:rPr>
        <w:t>especialmente</w:t>
      </w:r>
      <w:r w:rsidRPr="00F246B5">
        <w:rPr>
          <w:rFonts w:ascii="Calibri" w:hAnsi="Calibri" w:cs="Calibri"/>
          <w:bCs/>
          <w:sz w:val="24"/>
          <w:szCs w:val="24"/>
        </w:rPr>
        <w:t xml:space="preserve"> de Uni</w:t>
      </w:r>
      <w:r>
        <w:rPr>
          <w:rFonts w:ascii="Calibri" w:hAnsi="Calibri" w:cs="Calibri"/>
          <w:bCs/>
          <w:sz w:val="24"/>
          <w:szCs w:val="24"/>
        </w:rPr>
        <w:t>dade de Terapia Intensiva – UTI. C</w:t>
      </w:r>
      <w:r w:rsidRPr="00F246B5">
        <w:rPr>
          <w:rFonts w:ascii="Calibri" w:hAnsi="Calibri" w:cs="Calibri"/>
          <w:bCs/>
          <w:sz w:val="24"/>
          <w:szCs w:val="24"/>
        </w:rPr>
        <w:t xml:space="preserve">om isto, </w:t>
      </w:r>
      <w:r>
        <w:rPr>
          <w:rFonts w:ascii="Calibri" w:hAnsi="Calibri" w:cs="Calibri"/>
          <w:bCs/>
          <w:sz w:val="24"/>
          <w:szCs w:val="24"/>
        </w:rPr>
        <w:t>há muitos cidadãos</w:t>
      </w:r>
      <w:r w:rsidRPr="00F246B5">
        <w:rPr>
          <w:rFonts w:ascii="Calibri" w:hAnsi="Calibri" w:cs="Calibri"/>
          <w:bCs/>
          <w:sz w:val="24"/>
          <w:szCs w:val="24"/>
        </w:rPr>
        <w:t xml:space="preserve"> aguardando leitos hospitalares nas U</w:t>
      </w:r>
      <w:r w:rsidR="004D7E8C">
        <w:rPr>
          <w:rFonts w:ascii="Calibri" w:hAnsi="Calibri" w:cs="Calibri"/>
          <w:bCs/>
          <w:sz w:val="24"/>
          <w:szCs w:val="24"/>
        </w:rPr>
        <w:t>nidades de Pronto Atendimento (</w:t>
      </w:r>
      <w:proofErr w:type="spellStart"/>
      <w:proofErr w:type="gramStart"/>
      <w:r w:rsidRPr="00F246B5">
        <w:rPr>
          <w:rFonts w:ascii="Calibri" w:hAnsi="Calibri" w:cs="Calibri"/>
          <w:bCs/>
          <w:sz w:val="24"/>
          <w:szCs w:val="24"/>
        </w:rPr>
        <w:t>UPAs</w:t>
      </w:r>
      <w:proofErr w:type="spellEnd"/>
      <w:proofErr w:type="gramEnd"/>
      <w:r w:rsidR="004D7E8C">
        <w:rPr>
          <w:rFonts w:ascii="Calibri" w:hAnsi="Calibri" w:cs="Calibri"/>
          <w:bCs/>
          <w:sz w:val="24"/>
          <w:szCs w:val="24"/>
        </w:rPr>
        <w:t>)</w:t>
      </w:r>
      <w:r w:rsidRPr="00F246B5">
        <w:rPr>
          <w:rFonts w:ascii="Calibri" w:hAnsi="Calibri" w:cs="Calibri"/>
          <w:bCs/>
          <w:sz w:val="24"/>
          <w:szCs w:val="24"/>
        </w:rPr>
        <w:t xml:space="preserve"> do </w:t>
      </w:r>
      <w:r w:rsidR="004D7E8C">
        <w:rPr>
          <w:rFonts w:ascii="Calibri" w:hAnsi="Calibri" w:cs="Calibri"/>
          <w:bCs/>
          <w:sz w:val="24"/>
          <w:szCs w:val="24"/>
        </w:rPr>
        <w:t>m</w:t>
      </w:r>
      <w:r w:rsidRPr="00F246B5">
        <w:rPr>
          <w:rFonts w:ascii="Calibri" w:hAnsi="Calibri" w:cs="Calibri"/>
          <w:bCs/>
          <w:sz w:val="24"/>
          <w:szCs w:val="24"/>
        </w:rPr>
        <w:t>unicípio,</w:t>
      </w:r>
      <w:r>
        <w:rPr>
          <w:rFonts w:ascii="Calibri" w:hAnsi="Calibri" w:cs="Calibri"/>
          <w:bCs/>
          <w:sz w:val="24"/>
          <w:szCs w:val="24"/>
        </w:rPr>
        <w:t xml:space="preserve"> para</w:t>
      </w:r>
      <w:r w:rsidRPr="00F246B5">
        <w:rPr>
          <w:rFonts w:ascii="Calibri" w:hAnsi="Calibri" w:cs="Calibri"/>
          <w:bCs/>
          <w:sz w:val="24"/>
          <w:szCs w:val="24"/>
        </w:rPr>
        <w:t xml:space="preserve"> além do tempo considerado adequado quando assim exige</w:t>
      </w:r>
      <w:r>
        <w:rPr>
          <w:rFonts w:ascii="Calibri" w:hAnsi="Calibri" w:cs="Calibri"/>
          <w:bCs/>
          <w:sz w:val="24"/>
          <w:szCs w:val="24"/>
        </w:rPr>
        <w:t>m</w:t>
      </w:r>
      <w:r w:rsidRPr="00F246B5">
        <w:rPr>
          <w:rFonts w:ascii="Calibri" w:hAnsi="Calibri" w:cs="Calibri"/>
          <w:bCs/>
          <w:sz w:val="24"/>
          <w:szCs w:val="24"/>
        </w:rPr>
        <w:t xml:space="preserve"> os casos. Neste diapasão, </w:t>
      </w:r>
      <w:r w:rsidR="004D7E8C">
        <w:rPr>
          <w:rFonts w:ascii="Calibri" w:hAnsi="Calibri" w:cs="Calibri"/>
          <w:bCs/>
          <w:sz w:val="24"/>
          <w:szCs w:val="24"/>
        </w:rPr>
        <w:t>buscando</w:t>
      </w:r>
      <w:r w:rsidRPr="00F246B5">
        <w:rPr>
          <w:rFonts w:ascii="Calibri" w:hAnsi="Calibri" w:cs="Calibri"/>
          <w:bCs/>
          <w:sz w:val="24"/>
          <w:szCs w:val="24"/>
        </w:rPr>
        <w:t xml:space="preserve"> ofere</w:t>
      </w:r>
      <w:r>
        <w:rPr>
          <w:rFonts w:ascii="Calibri" w:hAnsi="Calibri" w:cs="Calibri"/>
          <w:bCs/>
          <w:sz w:val="24"/>
          <w:szCs w:val="24"/>
        </w:rPr>
        <w:t>cer novas ofertas de leitos de u</w:t>
      </w:r>
      <w:r w:rsidRPr="00F246B5">
        <w:rPr>
          <w:rFonts w:ascii="Calibri" w:hAnsi="Calibri" w:cs="Calibri"/>
          <w:bCs/>
          <w:sz w:val="24"/>
          <w:szCs w:val="24"/>
        </w:rPr>
        <w:t>rgência/</w:t>
      </w:r>
      <w:r>
        <w:rPr>
          <w:rFonts w:ascii="Calibri" w:hAnsi="Calibri" w:cs="Calibri"/>
          <w:bCs/>
          <w:sz w:val="24"/>
          <w:szCs w:val="24"/>
        </w:rPr>
        <w:t>emergência após não liberadas vagas via CROSS, a m</w:t>
      </w:r>
      <w:r w:rsidRPr="00F246B5">
        <w:rPr>
          <w:rFonts w:ascii="Calibri" w:hAnsi="Calibri" w:cs="Calibri"/>
          <w:bCs/>
          <w:sz w:val="24"/>
          <w:szCs w:val="24"/>
        </w:rPr>
        <w:t xml:space="preserve">unicipalidade </w:t>
      </w:r>
      <w:r>
        <w:rPr>
          <w:rFonts w:ascii="Calibri" w:hAnsi="Calibri" w:cs="Calibri"/>
          <w:bCs/>
          <w:sz w:val="24"/>
          <w:szCs w:val="24"/>
        </w:rPr>
        <w:t>se valerá</w:t>
      </w:r>
      <w:r w:rsidRPr="00F246B5">
        <w:rPr>
          <w:rFonts w:ascii="Calibri" w:hAnsi="Calibri" w:cs="Calibri"/>
          <w:bCs/>
          <w:sz w:val="24"/>
          <w:szCs w:val="24"/>
        </w:rPr>
        <w:t xml:space="preserve"> de contratação – via credenciamento, de mais leitos, </w:t>
      </w:r>
      <w:r w:rsidR="004D7E8C">
        <w:rPr>
          <w:rFonts w:ascii="Calibri" w:hAnsi="Calibri" w:cs="Calibri"/>
          <w:bCs/>
          <w:sz w:val="24"/>
          <w:szCs w:val="24"/>
        </w:rPr>
        <w:t>garantida</w:t>
      </w:r>
      <w:r w:rsidRPr="00F246B5">
        <w:rPr>
          <w:rFonts w:ascii="Calibri" w:hAnsi="Calibri" w:cs="Calibri"/>
          <w:bCs/>
          <w:sz w:val="24"/>
          <w:szCs w:val="24"/>
        </w:rPr>
        <w:t xml:space="preserve"> a assis</w:t>
      </w:r>
      <w:r w:rsidR="004D7E8C">
        <w:rPr>
          <w:rFonts w:ascii="Calibri" w:hAnsi="Calibri" w:cs="Calibri"/>
          <w:bCs/>
          <w:sz w:val="24"/>
          <w:szCs w:val="24"/>
        </w:rPr>
        <w:t>tência em local mais adequado dos</w:t>
      </w:r>
      <w:r w:rsidRPr="00F246B5">
        <w:rPr>
          <w:rFonts w:ascii="Calibri" w:hAnsi="Calibri" w:cs="Calibri"/>
          <w:bCs/>
          <w:sz w:val="24"/>
          <w:szCs w:val="24"/>
        </w:rPr>
        <w:t xml:space="preserve"> pacientes que </w:t>
      </w:r>
      <w:r w:rsidR="004D7E8C">
        <w:rPr>
          <w:rFonts w:ascii="Calibri" w:hAnsi="Calibri" w:cs="Calibri"/>
          <w:bCs/>
          <w:sz w:val="24"/>
          <w:szCs w:val="24"/>
        </w:rPr>
        <w:t>se encontrem nas</w:t>
      </w:r>
      <w:r w:rsidRPr="00F246B5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proofErr w:type="gramStart"/>
      <w:r w:rsidRPr="00F246B5">
        <w:rPr>
          <w:rFonts w:ascii="Calibri" w:hAnsi="Calibri" w:cs="Calibri"/>
          <w:bCs/>
          <w:sz w:val="24"/>
          <w:szCs w:val="24"/>
        </w:rPr>
        <w:t>UPAs</w:t>
      </w:r>
      <w:proofErr w:type="spellEnd"/>
      <w:proofErr w:type="gramEnd"/>
      <w:r w:rsidRPr="00F246B5">
        <w:rPr>
          <w:rFonts w:ascii="Calibri" w:hAnsi="Calibri" w:cs="Calibri"/>
          <w:bCs/>
          <w:sz w:val="24"/>
          <w:szCs w:val="24"/>
        </w:rPr>
        <w:t>.</w:t>
      </w:r>
    </w:p>
    <w:p w:rsidR="004D7E8C" w:rsidRPr="00F246B5" w:rsidRDefault="004D7E8C" w:rsidP="00F246B5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Saliente-se os novos leitos ser</w:t>
      </w:r>
      <w:r w:rsidR="00D64955">
        <w:rPr>
          <w:rFonts w:ascii="Calibri" w:hAnsi="Calibri" w:cs="Calibri"/>
          <w:bCs/>
          <w:sz w:val="24"/>
          <w:szCs w:val="24"/>
        </w:rPr>
        <w:t>ão ofertados t</w:t>
      </w:r>
      <w:r>
        <w:rPr>
          <w:rFonts w:ascii="Calibri" w:hAnsi="Calibri" w:cs="Calibri"/>
          <w:bCs/>
          <w:sz w:val="24"/>
          <w:szCs w:val="24"/>
        </w:rPr>
        <w:t xml:space="preserve">ão somente aos </w:t>
      </w:r>
      <w:r w:rsidRPr="004D7E8C">
        <w:rPr>
          <w:rFonts w:ascii="Calibri" w:hAnsi="Calibri" w:cs="Calibri"/>
          <w:bCs/>
          <w:sz w:val="24"/>
          <w:szCs w:val="24"/>
        </w:rPr>
        <w:t>pacientes</w:t>
      </w:r>
      <w:r>
        <w:rPr>
          <w:rFonts w:ascii="Calibri" w:hAnsi="Calibri" w:cs="Calibri"/>
          <w:bCs/>
          <w:sz w:val="24"/>
          <w:szCs w:val="24"/>
        </w:rPr>
        <w:t xml:space="preserve"> em atendimento nas </w:t>
      </w:r>
      <w:proofErr w:type="spellStart"/>
      <w:proofErr w:type="gramStart"/>
      <w:r>
        <w:rPr>
          <w:rFonts w:ascii="Calibri" w:hAnsi="Calibri" w:cs="Calibri"/>
          <w:bCs/>
          <w:sz w:val="24"/>
          <w:szCs w:val="24"/>
        </w:rPr>
        <w:t>UPAs</w:t>
      </w:r>
      <w:proofErr w:type="spellEnd"/>
      <w:proofErr w:type="gramEnd"/>
      <w:r>
        <w:rPr>
          <w:rFonts w:ascii="Calibri" w:hAnsi="Calibri" w:cs="Calibri"/>
          <w:bCs/>
          <w:sz w:val="24"/>
          <w:szCs w:val="24"/>
        </w:rPr>
        <w:t xml:space="preserve">: </w:t>
      </w:r>
      <w:r w:rsidRPr="004D7E8C">
        <w:rPr>
          <w:rFonts w:ascii="Calibri" w:hAnsi="Calibri" w:cs="Calibri"/>
          <w:bCs/>
          <w:i/>
          <w:sz w:val="24"/>
          <w:szCs w:val="24"/>
        </w:rPr>
        <w:t>i</w:t>
      </w:r>
      <w:r>
        <w:rPr>
          <w:rFonts w:ascii="Calibri" w:hAnsi="Calibri" w:cs="Calibri"/>
          <w:bCs/>
          <w:sz w:val="24"/>
          <w:szCs w:val="24"/>
        </w:rPr>
        <w:t>)</w:t>
      </w:r>
      <w:r w:rsidRPr="004D7E8C">
        <w:rPr>
          <w:rFonts w:ascii="Calibri" w:hAnsi="Calibri" w:cs="Calibri"/>
          <w:bCs/>
          <w:sz w:val="24"/>
          <w:szCs w:val="24"/>
        </w:rPr>
        <w:t xml:space="preserve"> que devam ter a sua transferência para leitos de UTI</w:t>
      </w:r>
      <w:r w:rsidR="00D64955">
        <w:rPr>
          <w:rFonts w:ascii="Calibri" w:hAnsi="Calibri" w:cs="Calibri"/>
          <w:bCs/>
          <w:sz w:val="24"/>
          <w:szCs w:val="24"/>
        </w:rPr>
        <w:t xml:space="preserve">; ou </w:t>
      </w:r>
      <w:r w:rsidR="00D64955" w:rsidRPr="00D64955">
        <w:rPr>
          <w:rFonts w:ascii="Calibri" w:hAnsi="Calibri" w:cs="Calibri"/>
          <w:bCs/>
          <w:i/>
          <w:sz w:val="24"/>
          <w:szCs w:val="24"/>
        </w:rPr>
        <w:t>ii</w:t>
      </w:r>
      <w:r w:rsidR="00D64955">
        <w:rPr>
          <w:rFonts w:ascii="Calibri" w:hAnsi="Calibri" w:cs="Calibri"/>
          <w:bCs/>
          <w:sz w:val="24"/>
          <w:szCs w:val="24"/>
        </w:rPr>
        <w:t>)</w:t>
      </w:r>
      <w:r>
        <w:rPr>
          <w:rFonts w:ascii="Calibri" w:hAnsi="Calibri" w:cs="Calibri"/>
          <w:bCs/>
          <w:sz w:val="24"/>
          <w:szCs w:val="24"/>
        </w:rPr>
        <w:t xml:space="preserve"> que estejam em situação para</w:t>
      </w:r>
      <w:r w:rsidRPr="004D7E8C">
        <w:rPr>
          <w:rFonts w:ascii="Calibri" w:hAnsi="Calibri" w:cs="Calibri"/>
          <w:bCs/>
          <w:sz w:val="24"/>
          <w:szCs w:val="24"/>
        </w:rPr>
        <w:t xml:space="preserve"> além da possibilidade terapêutica disponível </w:t>
      </w:r>
      <w:r>
        <w:rPr>
          <w:rFonts w:ascii="Calibri" w:hAnsi="Calibri" w:cs="Calibri"/>
          <w:bCs/>
          <w:sz w:val="24"/>
          <w:szCs w:val="24"/>
        </w:rPr>
        <w:t>no serviço público de saúde</w:t>
      </w:r>
      <w:r w:rsidR="00D64955">
        <w:rPr>
          <w:rFonts w:ascii="Calibri" w:hAnsi="Calibri" w:cs="Calibri"/>
          <w:bCs/>
          <w:sz w:val="24"/>
          <w:szCs w:val="24"/>
        </w:rPr>
        <w:t xml:space="preserve">; </w:t>
      </w:r>
      <w:r w:rsidRPr="004D7E8C">
        <w:rPr>
          <w:rFonts w:ascii="Calibri" w:hAnsi="Calibri" w:cs="Calibri"/>
          <w:bCs/>
          <w:sz w:val="24"/>
          <w:szCs w:val="24"/>
        </w:rPr>
        <w:t>e</w:t>
      </w:r>
      <w:r w:rsidR="00D64955">
        <w:rPr>
          <w:rFonts w:ascii="Calibri" w:hAnsi="Calibri" w:cs="Calibri"/>
          <w:bCs/>
          <w:sz w:val="24"/>
          <w:szCs w:val="24"/>
        </w:rPr>
        <w:t xml:space="preserve"> </w:t>
      </w:r>
      <w:r w:rsidR="00D64955" w:rsidRPr="00D64955">
        <w:rPr>
          <w:rFonts w:ascii="Calibri" w:hAnsi="Calibri" w:cs="Calibri"/>
          <w:bCs/>
          <w:i/>
          <w:sz w:val="24"/>
          <w:szCs w:val="24"/>
        </w:rPr>
        <w:t>iii</w:t>
      </w:r>
      <w:r w:rsidR="00D64955">
        <w:rPr>
          <w:rFonts w:ascii="Calibri" w:hAnsi="Calibri" w:cs="Calibri"/>
          <w:bCs/>
          <w:sz w:val="24"/>
          <w:szCs w:val="24"/>
        </w:rPr>
        <w:t>)</w:t>
      </w:r>
      <w:r w:rsidRPr="004D7E8C">
        <w:rPr>
          <w:rFonts w:ascii="Calibri" w:hAnsi="Calibri" w:cs="Calibri"/>
          <w:bCs/>
          <w:sz w:val="24"/>
          <w:szCs w:val="24"/>
        </w:rPr>
        <w:t xml:space="preserve"> após deco</w:t>
      </w:r>
      <w:r w:rsidR="00D64955">
        <w:rPr>
          <w:rFonts w:ascii="Calibri" w:hAnsi="Calibri" w:cs="Calibri"/>
          <w:bCs/>
          <w:sz w:val="24"/>
          <w:szCs w:val="24"/>
        </w:rPr>
        <w:t xml:space="preserve">rrido o tempo adequado sem que </w:t>
      </w:r>
      <w:proofErr w:type="spellStart"/>
      <w:r w:rsidR="00D64955">
        <w:rPr>
          <w:rFonts w:ascii="Calibri" w:hAnsi="Calibri" w:cs="Calibri"/>
          <w:bCs/>
          <w:sz w:val="24"/>
          <w:szCs w:val="24"/>
        </w:rPr>
        <w:t>se</w:t>
      </w:r>
      <w:r w:rsidRPr="004D7E8C">
        <w:rPr>
          <w:rFonts w:ascii="Calibri" w:hAnsi="Calibri" w:cs="Calibri"/>
          <w:bCs/>
          <w:sz w:val="24"/>
          <w:szCs w:val="24"/>
        </w:rPr>
        <w:t>obtenha</w:t>
      </w:r>
      <w:proofErr w:type="spellEnd"/>
      <w:r w:rsidRPr="004D7E8C">
        <w:rPr>
          <w:rFonts w:ascii="Calibri" w:hAnsi="Calibri" w:cs="Calibri"/>
          <w:bCs/>
          <w:sz w:val="24"/>
          <w:szCs w:val="24"/>
        </w:rPr>
        <w:t xml:space="preserve"> sucesso de liberação de leito SUS via CROSS.</w:t>
      </w:r>
    </w:p>
    <w:p w:rsidR="00275F8F" w:rsidRPr="00BE4DA8" w:rsidRDefault="00275F8F" w:rsidP="00F246B5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F246B5" w:rsidRPr="00F246B5">
        <w:rPr>
          <w:rFonts w:ascii="Calibri" w:hAnsi="Calibri" w:cs="Calibri"/>
          <w:sz w:val="24"/>
          <w:szCs w:val="24"/>
        </w:rPr>
        <w:t>até o limite de R$ 400.000,00 (quatrocentos mil reais), para atender as despesas com internações hospitalares de urgência, 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9139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5028"/>
        <w:gridCol w:w="426"/>
        <w:gridCol w:w="1417"/>
      </w:tblGrid>
      <w:tr w:rsidR="00F246B5" w:rsidRPr="00925496" w:rsidTr="00F246B5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F246B5" w:rsidRPr="00925496" w:rsidTr="00F246B5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F246B5" w:rsidRPr="00925496" w:rsidTr="00F246B5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F246B5" w:rsidRPr="00925496" w:rsidTr="00F246B5">
        <w:trPr>
          <w:cantSplit/>
          <w:trHeight w:val="267"/>
          <w:jc w:val="center"/>
        </w:trPr>
        <w:tc>
          <w:tcPr>
            <w:tcW w:w="9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246B5" w:rsidRPr="00925496" w:rsidTr="00F246B5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246B5" w:rsidRPr="00925496" w:rsidTr="00F246B5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246B5" w:rsidRPr="00925496" w:rsidTr="00F246B5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246B5" w:rsidRPr="00925496" w:rsidTr="00F246B5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F246B5" w:rsidRPr="00925496" w:rsidTr="00F246B5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F246B5" w:rsidRPr="00925496" w:rsidTr="00F246B5">
        <w:trPr>
          <w:cantSplit/>
          <w:trHeight w:val="206"/>
          <w:jc w:val="center"/>
        </w:trPr>
        <w:tc>
          <w:tcPr>
            <w:tcW w:w="9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246B5" w:rsidRPr="00925496" w:rsidTr="00F246B5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F246B5" w:rsidRPr="00925496" w:rsidTr="00F246B5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01 </w:t>
            </w:r>
            <w:r w:rsidR="00E434AF">
              <w:rPr>
                <w:rFonts w:ascii="Calibri" w:hAnsi="Calibri"/>
                <w:sz w:val="24"/>
                <w:szCs w:val="24"/>
              </w:rPr>
              <w:t>–</w:t>
            </w:r>
            <w:r>
              <w:rPr>
                <w:rFonts w:ascii="Calibri" w:hAnsi="Calibri"/>
                <w:sz w:val="24"/>
                <w:szCs w:val="24"/>
              </w:rPr>
              <w:t xml:space="preserve"> Tesouro</w:t>
            </w:r>
          </w:p>
        </w:tc>
      </w:tr>
    </w:tbl>
    <w:p w:rsidR="00342F25" w:rsidRDefault="00EA1A2E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>O crédito autorizado no art</w:t>
      </w:r>
      <w:r w:rsidR="00F246B5">
        <w:rPr>
          <w:rFonts w:ascii="Calibri" w:hAnsi="Calibri" w:cs="Calibri"/>
          <w:sz w:val="24"/>
          <w:szCs w:val="24"/>
        </w:rPr>
        <w:t>igo</w:t>
      </w:r>
      <w:r w:rsidR="003329DA" w:rsidRPr="0076125C">
        <w:rPr>
          <w:rFonts w:ascii="Calibri" w:hAnsi="Calibri" w:cs="Calibri"/>
          <w:sz w:val="24"/>
          <w:szCs w:val="24"/>
        </w:rPr>
        <w:t xml:space="preserve"> 1º desta lei será coberto com </w:t>
      </w:r>
      <w:r w:rsidR="003329DA">
        <w:rPr>
          <w:rFonts w:ascii="Calibri" w:hAnsi="Calibri" w:cs="Calibri"/>
          <w:sz w:val="24"/>
          <w:szCs w:val="24"/>
        </w:rPr>
        <w:t xml:space="preserve">a </w:t>
      </w:r>
      <w:r w:rsidR="003329DA" w:rsidRPr="00762A28">
        <w:rPr>
          <w:rFonts w:ascii="Calibri" w:hAnsi="Calibri" w:cs="Calibri"/>
          <w:sz w:val="24"/>
          <w:szCs w:val="24"/>
        </w:rPr>
        <w:t xml:space="preserve">anulação parcial </w:t>
      </w:r>
      <w:r w:rsidR="00F246B5">
        <w:rPr>
          <w:rFonts w:ascii="Calibri" w:hAnsi="Calibri" w:cs="Calibri"/>
          <w:sz w:val="24"/>
          <w:szCs w:val="24"/>
        </w:rPr>
        <w:t>da dotação</w:t>
      </w:r>
      <w:r w:rsidR="00342F25" w:rsidRPr="002D2B0C">
        <w:rPr>
          <w:rFonts w:ascii="Calibri" w:hAnsi="Calibri" w:cs="Calibri"/>
          <w:sz w:val="24"/>
          <w:szCs w:val="24"/>
        </w:rPr>
        <w:t xml:space="preserve"> orçamentária vigente e abaixo especificada: 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5028"/>
        <w:gridCol w:w="426"/>
        <w:gridCol w:w="1417"/>
      </w:tblGrid>
      <w:tr w:rsidR="00F246B5" w:rsidRPr="00925496" w:rsidTr="00F246B5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F246B5" w:rsidRPr="00925496" w:rsidTr="00F246B5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F246B5" w:rsidRPr="00925496" w:rsidTr="00F246B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F246B5" w:rsidRPr="00925496" w:rsidTr="00F246B5">
        <w:trPr>
          <w:cantSplit/>
          <w:trHeight w:val="267"/>
        </w:trPr>
        <w:tc>
          <w:tcPr>
            <w:tcW w:w="9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246B5" w:rsidRPr="00925496" w:rsidTr="00F246B5">
        <w:trPr>
          <w:cantSplit/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246B5" w:rsidRPr="00925496" w:rsidTr="00F246B5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10.122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246B5" w:rsidRPr="00925496" w:rsidTr="00F246B5">
        <w:trPr>
          <w:cantSplit/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10.122.0049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Auxílio, Benefícios e Subsídios aos Servidores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Municipais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246B5" w:rsidRPr="00925496" w:rsidTr="00F246B5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10.122.0049.2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F246B5" w:rsidRPr="00925496" w:rsidTr="00F246B5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10.122.0049.2.055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Auxilio Alimentação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F246B5" w:rsidRPr="00925496" w:rsidTr="00F246B5">
        <w:trPr>
          <w:cantSplit/>
          <w:trHeight w:val="206"/>
        </w:trPr>
        <w:tc>
          <w:tcPr>
            <w:tcW w:w="9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246B5" w:rsidRPr="00925496" w:rsidTr="00F246B5">
        <w:trPr>
          <w:cantSplit/>
          <w:trHeight w:val="2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3.3.90.46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Auxilio Alimentação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F246B5" w:rsidRPr="00925496" w:rsidTr="00F246B5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925496" w:rsidRDefault="00F246B5" w:rsidP="00F246B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lastRenderedPageBreak/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</w:t>
      </w:r>
      <w:proofErr w:type="gramStart"/>
      <w:r w:rsidRPr="0076125C">
        <w:rPr>
          <w:rFonts w:ascii="Calibri" w:hAnsi="Calibri" w:cs="Calibri"/>
          <w:sz w:val="24"/>
          <w:szCs w:val="24"/>
        </w:rPr>
        <w:t xml:space="preserve">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</w:t>
      </w:r>
      <w:proofErr w:type="gramEnd"/>
      <w:r w:rsidRPr="0076125C">
        <w:rPr>
          <w:rFonts w:ascii="Calibri" w:hAnsi="Calibri" w:cs="Calibri"/>
          <w:sz w:val="24"/>
          <w:szCs w:val="24"/>
        </w:rPr>
        <w:t xml:space="preserve">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CE08AC">
        <w:rPr>
          <w:rFonts w:ascii="Calibri" w:hAnsi="Calibri"/>
          <w:sz w:val="24"/>
          <w:szCs w:val="24"/>
        </w:rPr>
        <w:t>8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CE08AC">
        <w:rPr>
          <w:rFonts w:ascii="Calibri" w:hAnsi="Calibri"/>
          <w:sz w:val="24"/>
          <w:szCs w:val="24"/>
        </w:rPr>
        <w:t>dezoito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</w:t>
      </w:r>
      <w:bookmarkStart w:id="0" w:name="_GoBack"/>
      <w:bookmarkEnd w:id="0"/>
      <w:r w:rsidRPr="0076125C">
        <w:rPr>
          <w:rFonts w:ascii="Calibri" w:hAnsi="Calibri"/>
          <w:sz w:val="24"/>
          <w:szCs w:val="24"/>
        </w:rPr>
        <w:t>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6B5" w:rsidRDefault="00F246B5" w:rsidP="008166A0">
      <w:r>
        <w:separator/>
      </w:r>
    </w:p>
  </w:endnote>
  <w:endnote w:type="continuationSeparator" w:id="0">
    <w:p w:rsidR="00F246B5" w:rsidRDefault="00F246B5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6B5" w:rsidRPr="00E42A39" w:rsidRDefault="00F246B5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75103E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75103E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F246B5" w:rsidRDefault="00F246B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6B5" w:rsidRDefault="00F246B5" w:rsidP="008166A0">
      <w:r>
        <w:separator/>
      </w:r>
    </w:p>
  </w:footnote>
  <w:footnote w:type="continuationSeparator" w:id="0">
    <w:p w:rsidR="00F246B5" w:rsidRDefault="00F246B5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6B5" w:rsidRDefault="00F246B5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246B5" w:rsidRDefault="00F246B5" w:rsidP="00857790">
    <w:pPr>
      <w:pStyle w:val="Legenda"/>
    </w:pPr>
  </w:p>
  <w:p w:rsidR="00F246B5" w:rsidRDefault="00F246B5" w:rsidP="00857790">
    <w:pPr>
      <w:pStyle w:val="Legenda"/>
    </w:pPr>
  </w:p>
  <w:p w:rsidR="00F246B5" w:rsidRDefault="00F246B5" w:rsidP="00857790">
    <w:pPr>
      <w:pStyle w:val="Legenda"/>
    </w:pPr>
  </w:p>
  <w:p w:rsidR="00F246B5" w:rsidRPr="00BE4DA8" w:rsidRDefault="00F246B5" w:rsidP="00857790">
    <w:pPr>
      <w:pStyle w:val="Legenda"/>
      <w:rPr>
        <w:sz w:val="12"/>
        <w:szCs w:val="24"/>
      </w:rPr>
    </w:pPr>
  </w:p>
  <w:p w:rsidR="00F246B5" w:rsidRPr="006629CA" w:rsidRDefault="00F246B5" w:rsidP="006629CA">
    <w:pPr>
      <w:pStyle w:val="Legenda"/>
    </w:pPr>
    <w:r w:rsidRPr="00A01476">
      <w:rPr>
        <w:sz w:val="24"/>
        <w:szCs w:val="24"/>
      </w:rPr>
      <w:t>MUNICÍPIO DE ARARAQUARA</w:t>
    </w:r>
  </w:p>
  <w:p w:rsidR="00F246B5" w:rsidRPr="00857790" w:rsidRDefault="00F246B5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74FE"/>
    <w:rsid w:val="00016566"/>
    <w:rsid w:val="00030E70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A2743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67E"/>
    <w:rsid w:val="006814C1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2760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43462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5695E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34AF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46B5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759DE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A1CB4-EE94-4807-9E2C-28F666E4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612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mrsilva2</cp:lastModifiedBy>
  <cp:revision>33</cp:revision>
  <cp:lastPrinted>2019-07-17T20:44:00Z</cp:lastPrinted>
  <dcterms:created xsi:type="dcterms:W3CDTF">2019-06-19T16:02:00Z</dcterms:created>
  <dcterms:modified xsi:type="dcterms:W3CDTF">2019-07-17T20:45:00Z</dcterms:modified>
</cp:coreProperties>
</file>