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o procedimento para concessão de afastamento, aos empregados públicos municipais dos órgãos e entidades da Administração Municipal Direta e Indireta, para participar de cursos de pós-graduação,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6231F" w:rsidRDefault="00F6231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6231F" w:rsidRPr="001B5DD7" w:rsidRDefault="00F6231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85C" w:rsidRDefault="00DB285C" w:rsidP="00126850">
      <w:pPr>
        <w:spacing w:line="240" w:lineRule="auto"/>
      </w:pPr>
      <w:r>
        <w:separator/>
      </w:r>
    </w:p>
  </w:endnote>
  <w:endnote w:type="continuationSeparator" w:id="0">
    <w:p w:rsidR="00DB285C" w:rsidRDefault="00DB285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231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231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85C" w:rsidRDefault="00DB285C" w:rsidP="00126850">
      <w:pPr>
        <w:spacing w:line="240" w:lineRule="auto"/>
      </w:pPr>
      <w:r>
        <w:separator/>
      </w:r>
    </w:p>
  </w:footnote>
  <w:footnote w:type="continuationSeparator" w:id="0">
    <w:p w:rsidR="00DB285C" w:rsidRDefault="00DB285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285C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231F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6294F-82D4-4D18-BC73-06F52B252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2019-07-12T00:02:00Z</dcterms:modified>
</cp:coreProperties>
</file>