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6.594, de 20 de julho de 2007 (Dispõe sobre a política municipal de atendimento dos direitos da criança e do adolescente e estabelece normas gerais para a sua adequada aplicação), de modo a ampliar a composição do Conselho Municipal dos Direitos da Criança e do Adolescente (Comcriar).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8BB" w:rsidRDefault="000348BB" w:rsidP="00126850">
      <w:pPr>
        <w:spacing w:line="240" w:lineRule="auto"/>
      </w:pPr>
      <w:r>
        <w:separator/>
      </w:r>
    </w:p>
  </w:endnote>
  <w:endnote w:type="continuationSeparator" w:id="0">
    <w:p w:rsidR="000348BB" w:rsidRDefault="000348B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D60A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D60A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8BB" w:rsidRDefault="000348BB" w:rsidP="00126850">
      <w:pPr>
        <w:spacing w:line="240" w:lineRule="auto"/>
      </w:pPr>
      <w:r>
        <w:separator/>
      </w:r>
    </w:p>
  </w:footnote>
  <w:footnote w:type="continuationSeparator" w:id="0">
    <w:p w:rsidR="000348BB" w:rsidRDefault="000348B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48BB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D60A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09AAA-D2E0-4239-85FA-0641F1D89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2019-07-11T23:32:00Z</dcterms:modified>
</cp:coreProperties>
</file>