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R$ 202.019,16 (duzentos e dois mil, dezenove reais e dezesseis centavos), para atender despesas referentes à sinalização turística no Município,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348" w:rsidRDefault="00085348" w:rsidP="00126850">
      <w:pPr>
        <w:spacing w:line="240" w:lineRule="auto"/>
      </w:pPr>
      <w:r>
        <w:separator/>
      </w:r>
    </w:p>
  </w:endnote>
  <w:endnote w:type="continuationSeparator" w:id="0">
    <w:p w:rsidR="00085348" w:rsidRDefault="000853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A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B2A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348" w:rsidRDefault="00085348" w:rsidP="00126850">
      <w:pPr>
        <w:spacing w:line="240" w:lineRule="auto"/>
      </w:pPr>
      <w:r>
        <w:separator/>
      </w:r>
    </w:p>
  </w:footnote>
  <w:footnote w:type="continuationSeparator" w:id="0">
    <w:p w:rsidR="00085348" w:rsidRDefault="000853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348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2A9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5CC55-CEEF-4DFC-AF1E-684CD44D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2019-07-11T23:06:00Z</dcterms:modified>
</cp:coreProperties>
</file>