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299/2019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R$ 90.000,00 (noventa mil reais), para a reforma do Teatro Municipal e do Palacete das Rosas,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74B18" w:rsidRDefault="00074B18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074B18" w:rsidRPr="00635C11" w:rsidRDefault="00074B18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Cultura, Esportes, Comunicação e Proteção ao Consumidor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D28" w:rsidRDefault="000E3D28" w:rsidP="00126850">
      <w:pPr>
        <w:spacing w:line="240" w:lineRule="auto"/>
      </w:pPr>
      <w:r>
        <w:separator/>
      </w:r>
    </w:p>
  </w:endnote>
  <w:endnote w:type="continuationSeparator" w:id="0">
    <w:p w:rsidR="000E3D28" w:rsidRDefault="000E3D2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74B1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74B1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D28" w:rsidRDefault="000E3D28" w:rsidP="00126850">
      <w:pPr>
        <w:spacing w:line="240" w:lineRule="auto"/>
      </w:pPr>
      <w:r>
        <w:separator/>
      </w:r>
    </w:p>
  </w:footnote>
  <w:footnote w:type="continuationSeparator" w:id="0">
    <w:p w:rsidR="000E3D28" w:rsidRDefault="000E3D2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74B18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3D28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9D0CC-C792-434E-81CA-CBAEAEDB7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2019-07-11T22:37:00Z</dcterms:modified>
</cp:coreProperties>
</file>