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25768A" w:rsidRPr="0025768A"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R$ 67.000,00 (sessenta e sete mil reais), para atender despesas com prestação de serviços de publicidade legal de todos os atos de interesse do Município, e dá outras providências.</w:t>
      </w:r>
      <w:bookmarkStart w:id="0" w:name="_GoBack"/>
      <w:bookmarkEnd w:id="0"/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751092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D07" w:rsidRDefault="00691D07" w:rsidP="00126850">
      <w:pPr>
        <w:spacing w:line="240" w:lineRule="auto"/>
      </w:pPr>
      <w:r>
        <w:separator/>
      </w:r>
    </w:p>
  </w:endnote>
  <w:endnote w:type="continuationSeparator" w:id="0">
    <w:p w:rsidR="00691D07" w:rsidRDefault="00691D0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576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576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D07" w:rsidRDefault="00691D07" w:rsidP="00126850">
      <w:pPr>
        <w:spacing w:line="240" w:lineRule="auto"/>
      </w:pPr>
      <w:r>
        <w:separator/>
      </w:r>
    </w:p>
  </w:footnote>
  <w:footnote w:type="continuationSeparator" w:id="0">
    <w:p w:rsidR="00691D07" w:rsidRDefault="00691D0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26DC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768A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91D07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092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3111-7C59-4BFE-AD32-5323A9B3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2019-07-11T22:56:00Z</dcterms:modified>
</cp:coreProperties>
</file>