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2799C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Disciplina a instalação de novos bares, lanchonetes e similares, bem como de jogos de todo e qualquer tipo no Município de Araraquara, e dá outras providências.</w:t>
      </w:r>
    </w:p>
    <w:p w:rsidR="0062799C" w:rsidRPr="00A939CC" w:rsidRDefault="0062799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B5" w:rsidRDefault="00A546B5" w:rsidP="00126850">
      <w:pPr>
        <w:spacing w:line="240" w:lineRule="auto"/>
      </w:pPr>
      <w:r>
        <w:separator/>
      </w:r>
    </w:p>
  </w:endnote>
  <w:endnote w:type="continuationSeparator" w:id="0">
    <w:p w:rsidR="00A546B5" w:rsidRDefault="00A546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9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9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B5" w:rsidRDefault="00A546B5" w:rsidP="00126850">
      <w:pPr>
        <w:spacing w:line="240" w:lineRule="auto"/>
      </w:pPr>
      <w:r>
        <w:separator/>
      </w:r>
    </w:p>
  </w:footnote>
  <w:footnote w:type="continuationSeparator" w:id="0">
    <w:p w:rsidR="00A546B5" w:rsidRDefault="00A546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799C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46B5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B9DCA-AEE3-4883-9985-981A088D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2019-06-18T16:53:00Z</dcterms:modified>
</cp:coreProperties>
</file>