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229/2019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R$ 358.000,00 (trezentos e cinquenta e oito mil reais), destinado a investimentos na atenção básica e na assistência hospitalar e ambulatorial,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DDF" w:rsidRDefault="00A87DDF" w:rsidP="00126850">
      <w:pPr>
        <w:spacing w:line="240" w:lineRule="auto"/>
      </w:pPr>
      <w:r>
        <w:separator/>
      </w:r>
    </w:p>
  </w:endnote>
  <w:endnote w:type="continuationSeparator" w:id="0">
    <w:p w:rsidR="00A87DDF" w:rsidRDefault="00A87DD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95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95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DDF" w:rsidRDefault="00A87DDF" w:rsidP="00126850">
      <w:pPr>
        <w:spacing w:line="240" w:lineRule="auto"/>
      </w:pPr>
      <w:r>
        <w:separator/>
      </w:r>
    </w:p>
  </w:footnote>
  <w:footnote w:type="continuationSeparator" w:id="0">
    <w:p w:rsidR="00A87DDF" w:rsidRDefault="00A87DD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87DDF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95C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10592-6DA0-4296-8AD2-F39AF09D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2019-05-10T00:11:00Z</dcterms:modified>
</cp:coreProperties>
</file>