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RAFAEL BELLINATTI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2018, de modo a modificar um dos requisitos para o exercício da atividade econômica prevista na referida lei.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233F8" w:rsidRDefault="002233F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233F8" w:rsidRPr="00635C11" w:rsidRDefault="002233F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Transportes, Habitação e Saneamento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D94" w:rsidRDefault="008E1D94" w:rsidP="00126850">
      <w:pPr>
        <w:spacing w:line="240" w:lineRule="auto"/>
      </w:pPr>
      <w:r>
        <w:separator/>
      </w:r>
    </w:p>
  </w:endnote>
  <w:endnote w:type="continuationSeparator" w:id="0">
    <w:p w:rsidR="008E1D94" w:rsidRDefault="008E1D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33F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33F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D94" w:rsidRDefault="008E1D94" w:rsidP="00126850">
      <w:pPr>
        <w:spacing w:line="240" w:lineRule="auto"/>
      </w:pPr>
      <w:r>
        <w:separator/>
      </w:r>
    </w:p>
  </w:footnote>
  <w:footnote w:type="continuationSeparator" w:id="0">
    <w:p w:rsidR="008E1D94" w:rsidRDefault="008E1D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33F8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1D9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24F18-B839-4542-AD9E-3DFB26286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2019-04-25T18:25:00Z</dcterms:modified>
</cp:coreProperties>
</file>