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9.465, de 06 de fevereiro de 2019, introduzindo regulamentação dos requisitos e atribuições inerentes à percepção da gratificação especial de desempenho para os agentes de combate às endemias e para os agentes comunitários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DD5" w:rsidRDefault="00706DD5" w:rsidP="00126850">
      <w:pPr>
        <w:spacing w:line="240" w:lineRule="auto"/>
      </w:pPr>
      <w:r>
        <w:separator/>
      </w:r>
    </w:p>
  </w:endnote>
  <w:endnote w:type="continuationSeparator" w:id="0">
    <w:p w:rsidR="00706DD5" w:rsidRDefault="00706DD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06D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06D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DD5" w:rsidRDefault="00706DD5" w:rsidP="00126850">
      <w:pPr>
        <w:spacing w:line="240" w:lineRule="auto"/>
      </w:pPr>
      <w:r>
        <w:separator/>
      </w:r>
    </w:p>
  </w:footnote>
  <w:footnote w:type="continuationSeparator" w:id="0">
    <w:p w:rsidR="00706DD5" w:rsidRDefault="00706DD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6DD5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50DE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3F712-1CAE-4BE8-97DC-EA59079B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2019-03-21T21:15:00Z</dcterms:modified>
</cp:coreProperties>
</file>