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47" w:rsidRPr="00F95347" w:rsidRDefault="00F95347" w:rsidP="002706F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Times New Roman"/>
          <w:b/>
          <w:bCs/>
          <w:sz w:val="28"/>
          <w:szCs w:val="32"/>
          <w:lang w:eastAsia="pt-BR"/>
        </w:rPr>
      </w:pPr>
      <w:r w:rsidRPr="002706FA">
        <w:rPr>
          <w:rFonts w:ascii="Cambria" w:eastAsia="Times New Roman" w:hAnsi="Cambria" w:cs="Times New Roman"/>
          <w:b/>
          <w:bCs/>
          <w:sz w:val="28"/>
          <w:szCs w:val="32"/>
          <w:lang w:eastAsia="pt-BR"/>
        </w:rPr>
        <w:t>SUBSTITUTIVO AO PROJETO DE LEI COMPLEMENTAR Nº 02/2019</w:t>
      </w:r>
    </w:p>
    <w:p w:rsidR="00F95347" w:rsidRPr="00F95347" w:rsidRDefault="00F95347" w:rsidP="00F95347">
      <w:pPr>
        <w:autoSpaceDE w:val="0"/>
        <w:autoSpaceDN w:val="0"/>
        <w:spacing w:line="240" w:lineRule="auto"/>
        <w:ind w:right="-232"/>
        <w:jc w:val="center"/>
        <w:rPr>
          <w:rFonts w:ascii="Cambria" w:eastAsia="Times New Roman" w:hAnsi="Cambria" w:cs="Goudy Old Style ATT"/>
          <w:b/>
          <w:bCs/>
          <w:sz w:val="28"/>
          <w:szCs w:val="28"/>
          <w:lang w:eastAsia="pt-BR"/>
        </w:rPr>
      </w:pPr>
    </w:p>
    <w:p w:rsidR="00F95347" w:rsidRPr="00F95347" w:rsidRDefault="00F95347" w:rsidP="002706FA">
      <w:pPr>
        <w:autoSpaceDE w:val="0"/>
        <w:autoSpaceDN w:val="0"/>
        <w:spacing w:line="240" w:lineRule="auto"/>
        <w:ind w:left="4253" w:right="-1"/>
        <w:jc w:val="both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sz w:val="22"/>
          <w:szCs w:val="24"/>
          <w:lang w:eastAsia="pt-BR"/>
        </w:rPr>
        <w:t>Acrescenta parágrafo 2º, ao artigo 13 da Lei Complementar n° 18, de 22 de dezembro de 1997 (Código de Posturas do Município de Araraquara), alterado por leis complementares posteriores, passando o seu parágrafo único a ser o parágrafo 1º</w:t>
      </w:r>
      <w:r w:rsidRPr="00F95347">
        <w:rPr>
          <w:rFonts w:ascii="Cambria" w:eastAsia="Times New Roman" w:hAnsi="Cambria" w:cs="Arial"/>
          <w:szCs w:val="24"/>
          <w:lang w:eastAsia="pt-BR"/>
        </w:rPr>
        <w:t>.</w:t>
      </w:r>
    </w:p>
    <w:p w:rsidR="00F95347" w:rsidRPr="00F95347" w:rsidRDefault="00F95347" w:rsidP="00F95347">
      <w:pPr>
        <w:tabs>
          <w:tab w:val="left" w:pos="851"/>
        </w:tabs>
        <w:autoSpaceDE w:val="0"/>
        <w:autoSpaceDN w:val="0"/>
        <w:spacing w:line="240" w:lineRule="auto"/>
        <w:ind w:left="426" w:right="-426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both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b/>
          <w:bCs/>
          <w:szCs w:val="24"/>
          <w:lang w:eastAsia="pt-BR"/>
        </w:rPr>
        <w:t xml:space="preserve">  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bCs/>
          <w:szCs w:val="24"/>
          <w:lang w:eastAsia="pt-BR"/>
        </w:rPr>
        <w:t>Art. 1º</w:t>
      </w:r>
      <w:r w:rsidRPr="00F95347">
        <w:rPr>
          <w:rFonts w:ascii="Cambria" w:eastAsia="Times New Roman" w:hAnsi="Cambria" w:cs="Arial"/>
          <w:szCs w:val="24"/>
          <w:lang w:eastAsia="pt-BR"/>
        </w:rPr>
        <w:t xml:space="preserve"> A</w:t>
      </w:r>
      <w:r w:rsidR="002706FA">
        <w:rPr>
          <w:rFonts w:ascii="Cambria" w:eastAsia="Times New Roman" w:hAnsi="Cambria" w:cs="Arial"/>
          <w:szCs w:val="24"/>
          <w:lang w:eastAsia="pt-BR"/>
        </w:rPr>
        <w:t xml:space="preserve"> </w:t>
      </w:r>
      <w:r w:rsidRPr="00F95347">
        <w:rPr>
          <w:rFonts w:ascii="Cambria" w:eastAsia="Times New Roman" w:hAnsi="Cambria" w:cs="Arial"/>
          <w:szCs w:val="24"/>
          <w:lang w:eastAsia="pt-BR"/>
        </w:rPr>
        <w:t xml:space="preserve">Lei Complementar n° 18, de 22 de dezembro de 1997 (Código de Posturas do Município de Araraquara), </w:t>
      </w:r>
      <w:r w:rsidR="002706FA">
        <w:rPr>
          <w:rFonts w:ascii="Cambria" w:eastAsia="Times New Roman" w:hAnsi="Cambria" w:cs="Arial"/>
          <w:szCs w:val="24"/>
          <w:lang w:eastAsia="pt-BR"/>
        </w:rPr>
        <w:t>passa a vigorar com as seguintes alterações</w:t>
      </w:r>
      <w:r w:rsidRPr="00F95347">
        <w:rPr>
          <w:rFonts w:ascii="Cambria" w:eastAsia="Times New Roman" w:hAnsi="Cambria" w:cs="Arial"/>
          <w:szCs w:val="24"/>
          <w:lang w:eastAsia="pt-BR"/>
        </w:rPr>
        <w:t>: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bCs/>
          <w:szCs w:val="24"/>
          <w:lang w:eastAsia="pt-BR"/>
        </w:rPr>
        <w:t>“Art. 13</w:t>
      </w:r>
      <w:r w:rsidR="002706FA">
        <w:rPr>
          <w:rFonts w:ascii="Cambria" w:eastAsia="Times New Roman" w:hAnsi="Cambria" w:cs="Arial"/>
          <w:bCs/>
          <w:szCs w:val="24"/>
          <w:lang w:eastAsia="pt-BR"/>
        </w:rPr>
        <w:t>...................................................................................................................................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bCs/>
          <w:szCs w:val="24"/>
          <w:lang w:eastAsia="pt-BR"/>
        </w:rPr>
        <w:t xml:space="preserve">§ 1º </w:t>
      </w:r>
      <w:r w:rsidR="002706FA" w:rsidRPr="002706FA">
        <w:rPr>
          <w:rFonts w:ascii="Cambria" w:eastAsia="Times New Roman" w:hAnsi="Cambria" w:cs="Arial"/>
          <w:bCs/>
          <w:szCs w:val="24"/>
          <w:lang w:eastAsia="pt-BR"/>
        </w:rPr>
        <w:t>É vedado o uso de fogo para limpeza de terrenos e quintais.</w:t>
      </w: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bCs/>
          <w:szCs w:val="24"/>
          <w:lang w:eastAsia="pt-BR"/>
        </w:rPr>
        <w:t>§ 2º</w:t>
      </w:r>
      <w:r w:rsidRPr="00F95347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 w:rsidRPr="00F95347">
        <w:rPr>
          <w:rFonts w:ascii="Cambria" w:eastAsia="Times New Roman" w:hAnsi="Cambria" w:cs="Arial"/>
          <w:bCs/>
          <w:szCs w:val="24"/>
          <w:lang w:eastAsia="pt-BR"/>
        </w:rPr>
        <w:t>A</w:t>
      </w:r>
      <w:r w:rsidRPr="00F95347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 w:rsidRPr="00F95347">
        <w:rPr>
          <w:rFonts w:ascii="Cambria" w:eastAsia="Times New Roman" w:hAnsi="Cambria" w:cs="Arial"/>
          <w:bCs/>
          <w:szCs w:val="24"/>
          <w:lang w:eastAsia="pt-BR"/>
        </w:rPr>
        <w:t xml:space="preserve">100 (cem) metros de escolas, creches, postos de saúde e similares é vedado o depósito de materiais recicláveis ou sucatas para sua guarda ou </w:t>
      </w:r>
      <w:proofErr w:type="gramStart"/>
      <w:r w:rsidRPr="00F95347">
        <w:rPr>
          <w:rFonts w:ascii="Cambria" w:eastAsia="Times New Roman" w:hAnsi="Cambria" w:cs="Arial"/>
          <w:bCs/>
          <w:szCs w:val="24"/>
          <w:lang w:eastAsia="pt-BR"/>
        </w:rPr>
        <w:t>comercialização.</w:t>
      </w:r>
      <w:r w:rsidR="002706FA">
        <w:rPr>
          <w:rFonts w:ascii="Cambria" w:eastAsia="Times New Roman" w:hAnsi="Cambria" w:cs="Arial"/>
          <w:bCs/>
          <w:szCs w:val="24"/>
          <w:lang w:eastAsia="pt-BR"/>
        </w:rPr>
        <w:t>(</w:t>
      </w:r>
      <w:proofErr w:type="gramEnd"/>
      <w:r w:rsidR="002706FA">
        <w:rPr>
          <w:rFonts w:ascii="Cambria" w:eastAsia="Times New Roman" w:hAnsi="Cambria" w:cs="Arial"/>
          <w:bCs/>
          <w:szCs w:val="24"/>
          <w:lang w:eastAsia="pt-BR"/>
        </w:rPr>
        <w:t>NR)</w:t>
      </w: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>Art. 13-A As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administradora</w:t>
      </w:r>
      <w:r>
        <w:rPr>
          <w:rFonts w:ascii="Cambria" w:eastAsia="Times New Roman" w:hAnsi="Cambria" w:cs="Arial"/>
          <w:bCs/>
          <w:szCs w:val="24"/>
          <w:lang w:eastAsia="pt-BR"/>
        </w:rPr>
        <w:t>s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de imóveis deve</w:t>
      </w:r>
      <w:r>
        <w:rPr>
          <w:rFonts w:ascii="Cambria" w:eastAsia="Times New Roman" w:hAnsi="Cambria" w:cs="Arial"/>
          <w:bCs/>
          <w:szCs w:val="24"/>
          <w:lang w:eastAsia="pt-BR"/>
        </w:rPr>
        <w:t>m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assegurar a higidez sanitária dos imóveis desocupados p</w:t>
      </w:r>
      <w:r>
        <w:rPr>
          <w:rFonts w:ascii="Cambria" w:eastAsia="Times New Roman" w:hAnsi="Cambria" w:cs="Arial"/>
          <w:bCs/>
          <w:szCs w:val="24"/>
          <w:lang w:eastAsia="pt-BR"/>
        </w:rPr>
        <w:t>or ela administrados, competindo-l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>he</w:t>
      </w:r>
      <w:r>
        <w:rPr>
          <w:rFonts w:ascii="Cambria" w:eastAsia="Times New Roman" w:hAnsi="Cambria" w:cs="Arial"/>
          <w:bCs/>
          <w:szCs w:val="24"/>
          <w:lang w:eastAsia="pt-BR"/>
        </w:rPr>
        <w:t>s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>, entre outras medidas, lacrar ralos e fazer a manutenção de calhas e piscinas, de modo a evitar o surgimento de locais apropriados para a criação de mosquitos e outros ag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entes transmissores de </w:t>
      </w:r>
      <w:proofErr w:type="gramStart"/>
      <w:r>
        <w:rPr>
          <w:rFonts w:ascii="Cambria" w:eastAsia="Times New Roman" w:hAnsi="Cambria" w:cs="Arial"/>
          <w:bCs/>
          <w:szCs w:val="24"/>
          <w:lang w:eastAsia="pt-BR"/>
        </w:rPr>
        <w:t>doenças.(</w:t>
      </w:r>
      <w:proofErr w:type="gramEnd"/>
      <w:r>
        <w:rPr>
          <w:rFonts w:ascii="Cambria" w:eastAsia="Times New Roman" w:hAnsi="Cambria" w:cs="Arial"/>
          <w:bCs/>
          <w:szCs w:val="24"/>
          <w:lang w:eastAsia="pt-BR"/>
        </w:rPr>
        <w:t>NR)</w:t>
      </w: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>§ 1º O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proprietário possui a responsabilidade de entregar o imóvel limpo, passando somente a partir do fechamento do contrato a responsabilidade da zeladoria para a </w:t>
      </w:r>
      <w:proofErr w:type="gramStart"/>
      <w:r w:rsidRPr="002706FA">
        <w:rPr>
          <w:rFonts w:ascii="Cambria" w:eastAsia="Times New Roman" w:hAnsi="Cambria" w:cs="Arial"/>
          <w:bCs/>
          <w:szCs w:val="24"/>
          <w:lang w:eastAsia="pt-BR"/>
        </w:rPr>
        <w:t>imobiliária.</w:t>
      </w:r>
      <w:r>
        <w:rPr>
          <w:rFonts w:ascii="Cambria" w:eastAsia="Times New Roman" w:hAnsi="Cambria" w:cs="Arial"/>
          <w:bCs/>
          <w:szCs w:val="24"/>
          <w:lang w:eastAsia="pt-BR"/>
        </w:rPr>
        <w:t>(</w:t>
      </w:r>
      <w:proofErr w:type="gramEnd"/>
      <w:r>
        <w:rPr>
          <w:rFonts w:ascii="Cambria" w:eastAsia="Times New Roman" w:hAnsi="Cambria" w:cs="Arial"/>
          <w:bCs/>
          <w:szCs w:val="24"/>
          <w:lang w:eastAsia="pt-BR"/>
        </w:rPr>
        <w:t>NR)</w:t>
      </w: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>§ 2º A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inobservância das obriga</w:t>
      </w:r>
      <w:r>
        <w:rPr>
          <w:rFonts w:ascii="Cambria" w:eastAsia="Times New Roman" w:hAnsi="Cambria" w:cs="Arial"/>
          <w:bCs/>
          <w:szCs w:val="24"/>
          <w:lang w:eastAsia="pt-BR"/>
        </w:rPr>
        <w:t>ções estabelecidas na presente l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ei 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complementar 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>constitui infração da legislação referente à saúde pública, sujeitando o infrator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 às penalidades previstas nesta lei, bem como</w:t>
      </w:r>
      <w:r w:rsidRPr="002706FA">
        <w:rPr>
          <w:rFonts w:ascii="Cambria" w:eastAsia="Times New Roman" w:hAnsi="Cambria" w:cs="Arial"/>
          <w:bCs/>
          <w:szCs w:val="24"/>
          <w:lang w:eastAsia="pt-BR"/>
        </w:rPr>
        <w:t xml:space="preserve"> às penalidades previstas na Lei Federal nº 6.437, de 20 de agosto de </w:t>
      </w:r>
      <w:proofErr w:type="gramStart"/>
      <w:r w:rsidRPr="002706FA">
        <w:rPr>
          <w:rFonts w:ascii="Cambria" w:eastAsia="Times New Roman" w:hAnsi="Cambria" w:cs="Arial"/>
          <w:bCs/>
          <w:szCs w:val="24"/>
          <w:lang w:eastAsia="pt-BR"/>
        </w:rPr>
        <w:t>1977</w:t>
      </w:r>
      <w:r>
        <w:rPr>
          <w:rFonts w:ascii="Cambria" w:eastAsia="Times New Roman" w:hAnsi="Cambria" w:cs="Arial"/>
          <w:bCs/>
          <w:szCs w:val="24"/>
          <w:lang w:eastAsia="pt-BR"/>
        </w:rPr>
        <w:t>.(</w:t>
      </w:r>
      <w:proofErr w:type="gramEnd"/>
      <w:r>
        <w:rPr>
          <w:rFonts w:ascii="Cambria" w:eastAsia="Times New Roman" w:hAnsi="Cambria" w:cs="Arial"/>
          <w:bCs/>
          <w:szCs w:val="24"/>
          <w:lang w:eastAsia="pt-BR"/>
        </w:rPr>
        <w:t>NR)”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left="1843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2706FA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bCs/>
          <w:szCs w:val="24"/>
          <w:lang w:eastAsia="pt-BR"/>
        </w:rPr>
        <w:t>Art. 2º</w:t>
      </w:r>
      <w:r w:rsidRPr="00F95347">
        <w:rPr>
          <w:rFonts w:ascii="Cambria" w:eastAsia="Times New Roman" w:hAnsi="Cambria" w:cs="Arial"/>
          <w:szCs w:val="24"/>
          <w:lang w:eastAsia="pt-BR"/>
        </w:rPr>
        <w:t xml:space="preserve"> </w:t>
      </w:r>
      <w:r w:rsidR="002706FA">
        <w:rPr>
          <w:rFonts w:ascii="Cambria" w:eastAsia="Times New Roman" w:hAnsi="Cambria" w:cs="Arial"/>
          <w:szCs w:val="24"/>
          <w:lang w:eastAsia="pt-BR"/>
        </w:rPr>
        <w:t>Ficam revogados os incisos I a III do parágrafo único do artigo 13 da Lei Complementar nº 18, de 1997.</w:t>
      </w:r>
    </w:p>
    <w:p w:rsidR="002706FA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szCs w:val="24"/>
          <w:lang w:eastAsia="pt-BR"/>
        </w:rPr>
        <w:t xml:space="preserve">Art. 3º </w:t>
      </w:r>
      <w:r w:rsidR="00F95347" w:rsidRPr="00F95347">
        <w:rPr>
          <w:rFonts w:ascii="Cambria" w:eastAsia="Times New Roman" w:hAnsi="Cambria" w:cs="Arial"/>
          <w:szCs w:val="24"/>
          <w:lang w:eastAsia="pt-BR"/>
        </w:rPr>
        <w:t>Esta lei complementar entra em vigor na data de sua publicação.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 w:firstLine="1842"/>
        <w:jc w:val="both"/>
        <w:rPr>
          <w:rFonts w:ascii="Cambria" w:eastAsia="Times New Roman" w:hAnsi="Cambria" w:cs="Arial"/>
          <w:b/>
          <w:bCs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 w:rsidR="002706FA">
        <w:rPr>
          <w:rFonts w:ascii="Cambria" w:eastAsia="Times New Roman" w:hAnsi="Cambria" w:cs="Arial"/>
          <w:szCs w:val="24"/>
          <w:lang w:eastAsia="pt-BR"/>
        </w:rPr>
        <w:t>11</w:t>
      </w:r>
      <w:r w:rsidRPr="00F95347">
        <w:rPr>
          <w:rFonts w:ascii="Cambria" w:eastAsia="Times New Roman" w:hAnsi="Cambria" w:cs="Arial"/>
          <w:szCs w:val="24"/>
          <w:lang w:eastAsia="pt-BR"/>
        </w:rPr>
        <w:t xml:space="preserve"> de março de 2019.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b/>
          <w:bCs/>
          <w:szCs w:val="24"/>
          <w:lang w:eastAsia="pt-BR"/>
        </w:rPr>
        <w:t>JOSÉ CARLOS PORSANI</w:t>
      </w:r>
    </w:p>
    <w:p w:rsidR="00F95347" w:rsidRPr="00F95347" w:rsidRDefault="00F95347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szCs w:val="24"/>
          <w:lang w:eastAsia="pt-BR"/>
        </w:rPr>
        <w:t>Vereador – PSDB</w:t>
      </w:r>
    </w:p>
    <w:p w:rsidR="009C5FA0" w:rsidRDefault="009C5FA0" w:rsidP="002706FA">
      <w:pPr>
        <w:ind w:right="-1"/>
        <w:rPr>
          <w:rStyle w:val="Estilo1"/>
          <w:b w:val="0"/>
          <w:szCs w:val="22"/>
        </w:rPr>
      </w:pPr>
    </w:p>
    <w:p w:rsidR="002706FA" w:rsidRDefault="002706FA" w:rsidP="002706FA">
      <w:pPr>
        <w:ind w:right="-1"/>
        <w:jc w:val="center"/>
        <w:rPr>
          <w:rStyle w:val="Estilo1"/>
          <w:szCs w:val="22"/>
        </w:rPr>
      </w:pPr>
      <w:r>
        <w:rPr>
          <w:rStyle w:val="Estilo1"/>
          <w:szCs w:val="22"/>
        </w:rPr>
        <w:lastRenderedPageBreak/>
        <w:t xml:space="preserve">JUSTIFICATIVA </w:t>
      </w:r>
    </w:p>
    <w:p w:rsidR="002706FA" w:rsidRDefault="002706FA" w:rsidP="002706FA">
      <w:pPr>
        <w:ind w:right="-1"/>
        <w:jc w:val="center"/>
        <w:rPr>
          <w:rStyle w:val="Estilo1"/>
          <w:szCs w:val="22"/>
        </w:rPr>
      </w:pPr>
    </w:p>
    <w:p w:rsidR="002706FA" w:rsidRDefault="002706FA" w:rsidP="002706FA">
      <w:pPr>
        <w:ind w:right="-1"/>
        <w:jc w:val="both"/>
        <w:rPr>
          <w:rStyle w:val="Estilo1"/>
          <w:b w:val="0"/>
          <w:szCs w:val="22"/>
        </w:rPr>
      </w:pPr>
      <w:r>
        <w:rPr>
          <w:rStyle w:val="Estilo1"/>
          <w:szCs w:val="22"/>
        </w:rPr>
        <w:tab/>
      </w:r>
      <w:r>
        <w:rPr>
          <w:rStyle w:val="Estilo1"/>
          <w:b w:val="0"/>
          <w:szCs w:val="22"/>
        </w:rPr>
        <w:t>O presente substitutivo mantém integral a matéria veiculada no projeto original.</w:t>
      </w:r>
    </w:p>
    <w:p w:rsidR="002706FA" w:rsidRDefault="002706FA" w:rsidP="002706FA">
      <w:pPr>
        <w:ind w:right="-1"/>
        <w:jc w:val="both"/>
        <w:rPr>
          <w:rStyle w:val="Estilo1"/>
          <w:b w:val="0"/>
          <w:szCs w:val="22"/>
        </w:rPr>
      </w:pPr>
      <w:r>
        <w:rPr>
          <w:rStyle w:val="Estilo1"/>
          <w:b w:val="0"/>
          <w:szCs w:val="22"/>
        </w:rPr>
        <w:tab/>
        <w:t xml:space="preserve">Distingue-se, contudo, do projeto original na medida em que estabelece correção de técnica redacional utilizada nos incisos I a III do parágrafo único do artigo 13 do Código de Posturas: em específico, tais dispositivos possuem autonomia face ao parágrafo único, bem como ao próprio “caput” do artigo 13; por </w:t>
      </w:r>
      <w:proofErr w:type="spellStart"/>
      <w:r>
        <w:rPr>
          <w:rStyle w:val="Estilo1"/>
          <w:b w:val="0"/>
          <w:szCs w:val="22"/>
        </w:rPr>
        <w:t>tal</w:t>
      </w:r>
      <w:proofErr w:type="spellEnd"/>
      <w:r>
        <w:rPr>
          <w:rStyle w:val="Estilo1"/>
          <w:b w:val="0"/>
          <w:szCs w:val="22"/>
        </w:rPr>
        <w:t xml:space="preserve"> razão, optou-se por criar o artigo 13-A no Código de Posturas, dispositivo este que recepcionaria o conteúdo dos já mencionados incisos.</w:t>
      </w:r>
    </w:p>
    <w:p w:rsidR="002706FA" w:rsidRDefault="002706FA" w:rsidP="002706FA">
      <w:pPr>
        <w:ind w:right="-1"/>
        <w:jc w:val="both"/>
        <w:rPr>
          <w:rStyle w:val="Estilo1"/>
          <w:b w:val="0"/>
          <w:szCs w:val="22"/>
        </w:rPr>
      </w:pPr>
      <w:r>
        <w:rPr>
          <w:rStyle w:val="Estilo1"/>
          <w:b w:val="0"/>
          <w:szCs w:val="22"/>
        </w:rPr>
        <w:tab/>
        <w:t xml:space="preserve">Por julgar a importância e validade da presente propositura, roga-se aos pares seja </w:t>
      </w:r>
      <w:proofErr w:type="spellStart"/>
      <w:r>
        <w:rPr>
          <w:rStyle w:val="Estilo1"/>
          <w:b w:val="0"/>
          <w:szCs w:val="22"/>
        </w:rPr>
        <w:t>esta</w:t>
      </w:r>
      <w:proofErr w:type="spellEnd"/>
      <w:r>
        <w:rPr>
          <w:rStyle w:val="Estilo1"/>
          <w:b w:val="0"/>
          <w:szCs w:val="22"/>
        </w:rPr>
        <w:t xml:space="preserve"> aprovada. </w:t>
      </w: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  <w:r w:rsidRPr="00F95347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>
        <w:rPr>
          <w:rFonts w:ascii="Cambria" w:eastAsia="Times New Roman" w:hAnsi="Cambria" w:cs="Arial"/>
          <w:szCs w:val="24"/>
          <w:lang w:eastAsia="pt-BR"/>
        </w:rPr>
        <w:t>11</w:t>
      </w:r>
      <w:r w:rsidRPr="00F95347">
        <w:rPr>
          <w:rFonts w:ascii="Cambria" w:eastAsia="Times New Roman" w:hAnsi="Cambria" w:cs="Arial"/>
          <w:szCs w:val="24"/>
          <w:lang w:eastAsia="pt-BR"/>
        </w:rPr>
        <w:t xml:space="preserve"> de março de 2019.</w:t>
      </w: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rPr>
          <w:rFonts w:ascii="Cambria" w:eastAsia="Times New Roman" w:hAnsi="Cambria" w:cs="Arial"/>
          <w:szCs w:val="24"/>
          <w:lang w:eastAsia="pt-BR"/>
        </w:rPr>
      </w:pP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b/>
          <w:bCs/>
          <w:szCs w:val="24"/>
          <w:lang w:eastAsia="pt-BR"/>
        </w:rPr>
        <w:t>JOSÉ CARLOS PORSANI</w:t>
      </w:r>
    </w:p>
    <w:p w:rsidR="002706FA" w:rsidRPr="00F95347" w:rsidRDefault="002706FA" w:rsidP="002706FA">
      <w:pPr>
        <w:tabs>
          <w:tab w:val="left" w:pos="851"/>
        </w:tabs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F95347">
        <w:rPr>
          <w:rFonts w:ascii="Cambria" w:eastAsia="Times New Roman" w:hAnsi="Cambria" w:cs="Arial"/>
          <w:szCs w:val="24"/>
          <w:lang w:eastAsia="pt-BR"/>
        </w:rPr>
        <w:t>Vereador – PSDB</w:t>
      </w:r>
    </w:p>
    <w:p w:rsidR="002706FA" w:rsidRPr="002706FA" w:rsidRDefault="002706FA" w:rsidP="002706FA">
      <w:pPr>
        <w:ind w:right="-1"/>
        <w:jc w:val="both"/>
        <w:rPr>
          <w:rStyle w:val="Estilo1"/>
          <w:b w:val="0"/>
          <w:szCs w:val="22"/>
        </w:rPr>
      </w:pPr>
      <w:bookmarkStart w:id="0" w:name="_GoBack"/>
      <w:bookmarkEnd w:id="0"/>
    </w:p>
    <w:sectPr w:rsidR="002706FA" w:rsidRPr="002706F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F66" w:rsidRDefault="00A95F66" w:rsidP="00126850">
      <w:pPr>
        <w:spacing w:line="240" w:lineRule="auto"/>
      </w:pPr>
      <w:r>
        <w:separator/>
      </w:r>
    </w:p>
  </w:endnote>
  <w:endnote w:type="continuationSeparator" w:id="0">
    <w:p w:rsidR="00A95F66" w:rsidRDefault="00A95F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2706FA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2706FA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2706FA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2706FA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2706FA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2706FA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F66" w:rsidRDefault="00A95F66" w:rsidP="00126850">
      <w:pPr>
        <w:spacing w:line="240" w:lineRule="auto"/>
      </w:pPr>
      <w:r>
        <w:separator/>
      </w:r>
    </w:p>
  </w:footnote>
  <w:footnote w:type="continuationSeparator" w:id="0">
    <w:p w:rsidR="00A95F66" w:rsidRDefault="00A95F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2706FA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2706FA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2706FA">
      <w:rPr>
        <w:rFonts w:ascii="Cambria" w:hAnsi="Cambria"/>
        <w:smallCaps/>
        <w:color w:val="0070C0"/>
        <w:sz w:val="50"/>
      </w:rPr>
      <w:t>Câmara Municipal de Araraquara</w:t>
    </w:r>
  </w:p>
  <w:p w:rsidR="002F5765" w:rsidRDefault="002F5765">
    <w:pPr>
      <w:pStyle w:val="Cabealho"/>
    </w:pPr>
  </w:p>
  <w:p w:rsidR="002706FA" w:rsidRDefault="002706F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06F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5F66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95347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F9441-7E45-40AA-BED1-BC2C8AE9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2019-03-11T17:12:00Z</dcterms:created>
  <dcterms:modified xsi:type="dcterms:W3CDTF">2019-03-11T17:27:00Z</dcterms:modified>
</cp:coreProperties>
</file>