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9C5A22">
        <w:rPr>
          <w:rFonts w:ascii="Arial" w:eastAsia="Times New Roman" w:hAnsi="Arial" w:cs="Arial"/>
          <w:bCs/>
          <w:szCs w:val="24"/>
          <w:lang w:eastAsia="pt-BR"/>
        </w:rPr>
        <w:t>A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Comissão de Justiça, Legislação e Redação, de conformidade com o que deliberou o plenário em sessão ordinária de 2</w:t>
      </w:r>
      <w:r w:rsidR="00CD5701">
        <w:rPr>
          <w:rFonts w:ascii="Arial" w:eastAsia="Times New Roman" w:hAnsi="Arial" w:cs="Arial"/>
          <w:szCs w:val="24"/>
          <w:lang w:eastAsia="pt-BR"/>
        </w:rPr>
        <w:t>3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 de </w:t>
      </w:r>
      <w:r w:rsidR="00CD5701">
        <w:rPr>
          <w:rFonts w:ascii="Arial" w:eastAsia="Times New Roman" w:hAnsi="Arial" w:cs="Arial"/>
          <w:szCs w:val="24"/>
          <w:lang w:eastAsia="pt-BR"/>
        </w:rPr>
        <w:t>outub</w:t>
      </w:r>
      <w:r w:rsidRPr="009C5A22">
        <w:rPr>
          <w:rFonts w:ascii="Arial" w:eastAsia="Times New Roman" w:hAnsi="Arial" w:cs="Arial"/>
          <w:szCs w:val="24"/>
          <w:lang w:eastAsia="pt-BR"/>
        </w:rPr>
        <w:t xml:space="preserve">ro de 2018, aprovando o Projeto de Lei nº </w:t>
      </w:r>
      <w:r w:rsidR="00CD5701">
        <w:rPr>
          <w:rFonts w:ascii="Arial" w:eastAsia="Times New Roman" w:hAnsi="Arial" w:cs="Arial"/>
          <w:szCs w:val="24"/>
          <w:lang w:eastAsia="pt-BR"/>
        </w:rPr>
        <w:t>267</w:t>
      </w:r>
      <w:r w:rsidRPr="009C5A22">
        <w:rPr>
          <w:rFonts w:ascii="Arial" w:eastAsia="Times New Roman" w:hAnsi="Arial" w:cs="Arial"/>
          <w:szCs w:val="24"/>
          <w:lang w:eastAsia="pt-BR"/>
        </w:rPr>
        <w:t>/2018 e a correspondente emenda, apresenta a inclusa</w:t>
      </w: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right="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right="-91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 xml:space="preserve">NOVA REDAÇÃO AO PROJETO DE LEI Nº </w:t>
      </w:r>
      <w:r w:rsidR="00CD5701">
        <w:rPr>
          <w:rFonts w:eastAsia="Times New Roman" w:cs="Times New Roman"/>
          <w:b/>
          <w:bCs/>
          <w:sz w:val="32"/>
          <w:szCs w:val="32"/>
          <w:lang w:eastAsia="pt-BR"/>
        </w:rPr>
        <w:t>267</w:t>
      </w:r>
      <w:r w:rsidRPr="009C5A22">
        <w:rPr>
          <w:rFonts w:eastAsia="Times New Roman" w:cs="Times New Roman"/>
          <w:b/>
          <w:bCs/>
          <w:sz w:val="32"/>
          <w:szCs w:val="32"/>
          <w:lang w:eastAsia="pt-BR"/>
        </w:rPr>
        <w:t>/2018</w:t>
      </w: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CD5701" w:rsidP="009C5A22">
      <w:pPr>
        <w:autoSpaceDE w:val="0"/>
        <w:autoSpaceDN w:val="0"/>
        <w:spacing w:line="240" w:lineRule="auto"/>
        <w:ind w:left="4536"/>
        <w:jc w:val="both"/>
        <w:rPr>
          <w:rFonts w:ascii="Arial" w:eastAsia="Times New Roman" w:hAnsi="Arial" w:cs="Arial"/>
          <w:sz w:val="22"/>
          <w:lang w:eastAsia="pt-BR"/>
        </w:rPr>
      </w:pPr>
      <w:r w:rsidRPr="00CD5701">
        <w:rPr>
          <w:rFonts w:ascii="Arial" w:eastAsia="Times New Roman" w:hAnsi="Arial" w:cs="Arial"/>
          <w:sz w:val="22"/>
          <w:lang w:eastAsia="pt-BR"/>
        </w:rPr>
        <w:t>Autoriza a doação onerosa de imóvel do Município e dá outras providências.</w:t>
      </w: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Pr="009C5A22" w:rsidRDefault="009C5A22" w:rsidP="009C5A22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 xml:space="preserve">Art. 1º Fica o Prefeito, em nome do Município de Araraquara, autorizado a alienar, mediante doação onerosa, à Agência Adventista de Desenvolvimento e Recursos Assistenciais Central Brasileira – ADRA, pessoa jurídica de direito privado, inscrita no CNPJ sob o nº 15.355.260/0001-57, imóvel pertencente ao Município de Araraquara, objeto da matrícula nº 118.902, do 1º Cartório de Registro de Imóveis, integrante do guichê administrativo nº 047.598/2010 – processo nº 005.449/2003, com a seguinte descrição: “terreno designado Área A1, localizado no loteamento Jardim Maria Luiza, em Araraquara, com superfície de 6.070,78 metros quadrados, medindo 65,00 metros de frente para a Avenida Sargento P. M. Vital Maria Bueno Lopes; aos fundos se mede 7.400 metros confrontando com a Área A2 (M.118.903); do lado esquerdo, mantendo vista frontal da área se mede 82,273 metros, confrontando com Área Verde (AV1); do lado direito se mede em curva com desenvolvimento de 14,14 metros, confrontando com o alinhamento </w:t>
      </w:r>
      <w:proofErr w:type="spellStart"/>
      <w:r w:rsidRPr="00CD5701">
        <w:rPr>
          <w:rFonts w:ascii="Arial" w:eastAsia="Times New Roman" w:hAnsi="Arial" w:cs="Arial"/>
          <w:szCs w:val="24"/>
          <w:lang w:eastAsia="pt-BR"/>
        </w:rPr>
        <w:t>presial</w:t>
      </w:r>
      <w:proofErr w:type="spellEnd"/>
      <w:r w:rsidRPr="00CD5701">
        <w:rPr>
          <w:rFonts w:ascii="Arial" w:eastAsia="Times New Roman" w:hAnsi="Arial" w:cs="Arial"/>
          <w:szCs w:val="24"/>
          <w:lang w:eastAsia="pt-BR"/>
        </w:rPr>
        <w:t xml:space="preserve"> da confluência da Avenida Sargento P. M. Vital Maria Bueno Lopes e Rua Leônidas Dall’Acqua e finalmente à direita se mede 73,273 metros, confrontando com a Rua Leônidas Dall’Acqua”.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Art. 2º Do instrumento de doação constará: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I – cláusula de retrocessão;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II – cláusula que contenha a obrigação de recolher todos os tributos federais e estaduais no Município de Araraquara;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III – cláusula especificando que, em caso de recuperação judicial, falência, extinção ou liquidação da donatária, terá o Município direito de preferência em relação ao imóvel doado;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IV – cláusula determinando que a donatária não possa, sem anuência do doador, alterar seus objetivos sociais, consoante disposto no contrato social;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V – cláusula impeditiva de modificações quanto à destinação do imóvel doado;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VI – cláusula que determine a anuência do doador quando da cessão ou alienação do imóvel por parte da donatária;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VII – cláusula fixando que, em caso de hasta pública, o Município terá direito de preferência sobre o imóvel;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VIII – cláusula determinando que a donatária utilize totalmente a área doada, de acordo com os objetivos propostos;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IX – cláusula que contenha a impenhorabilidade do bem doado;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 xml:space="preserve">X – cláusula dispondo que a Secretaria Municipal do Trabalho e do Desenvolvimento Econômico poderá, a qualquer tempo, e com qualquer </w:t>
      </w:r>
      <w:r w:rsidRPr="00CD5701">
        <w:rPr>
          <w:rFonts w:ascii="Arial" w:eastAsia="Times New Roman" w:hAnsi="Arial" w:cs="Arial"/>
          <w:szCs w:val="24"/>
          <w:lang w:eastAsia="pt-BR"/>
        </w:rPr>
        <w:lastRenderedPageBreak/>
        <w:t>periodicidade, requerer da donatária a comprovação da continuidade das condições que a habilitaram ao recebimento do benefício;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 xml:space="preserve">XI – cláusula que estipule que a donatária deverá demonstrar ao órgão da Administração Municipal o atendimento aos requisitos e contrapartidas estipulados por esta lei e seus regulamentos, nos termos do art. 11 da Lei nº 5.119, de 14 de dezembro de 1998.  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Parágrafo único. As custas e os emolumentos devidos pela lavratura das escrituras, como seus registros no cartório competente, serão de exclusiva responsabilidade da donatária, inclusive o ITBI devido ao Estado em razão da doação.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 xml:space="preserve">Art. 3º O não cumprimento das obrigações assumidas poderá determinar o cancelamento do benefício concedido, como também a reversão do imóvel objeto da doação ao patrimônio municipal, com todas as benfeitorias nele existentes, sem direito a qualquer indenização, independentemente de interpelação judicial e extrajudicial. 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 xml:space="preserve">Art. 4º As despesas com a execução desta lei onerarão as dotações orçamentárias próprias, suplementadas se necessário. </w:t>
      </w:r>
    </w:p>
    <w:p w:rsidR="00CD5701" w:rsidRP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9C5A22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CD5701">
        <w:rPr>
          <w:rFonts w:ascii="Arial" w:eastAsia="Times New Roman" w:hAnsi="Arial" w:cs="Arial"/>
          <w:szCs w:val="24"/>
          <w:lang w:eastAsia="pt-BR"/>
        </w:rPr>
        <w:tab/>
      </w:r>
      <w:r w:rsidRPr="00CD5701">
        <w:rPr>
          <w:rFonts w:ascii="Arial" w:eastAsia="Times New Roman" w:hAnsi="Arial" w:cs="Arial"/>
          <w:szCs w:val="24"/>
          <w:lang w:eastAsia="pt-BR"/>
        </w:rPr>
        <w:tab/>
        <w:t>Art. 5º Esta lei entra em vigor na data de sua publicação.</w:t>
      </w:r>
    </w:p>
    <w:p w:rsidR="00CD5701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CD5701" w:rsidRPr="009C5A22" w:rsidRDefault="00CD5701" w:rsidP="00CD5701">
      <w:pPr>
        <w:tabs>
          <w:tab w:val="left" w:pos="709"/>
          <w:tab w:val="left" w:pos="1418"/>
          <w:tab w:val="left" w:pos="2127"/>
          <w:tab w:val="left" w:pos="2835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Cs/>
          <w:szCs w:val="24"/>
          <w:lang w:eastAsia="pt-BR"/>
        </w:rPr>
        <w:t>______________________________              ______________________________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>Cabo Magal Verri</w:t>
      </w:r>
      <w:r w:rsidRPr="009C5A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Thainara Faria</w:t>
      </w:r>
    </w:p>
    <w:p w:rsidR="009C5A22" w:rsidRPr="009C5A22" w:rsidRDefault="009C5A22" w:rsidP="009C5A22">
      <w:pPr>
        <w:autoSpaceDE w:val="0"/>
        <w:autoSpaceDN w:val="0"/>
        <w:spacing w:line="240" w:lineRule="auto"/>
        <w:ind w:left="567" w:right="-374"/>
        <w:jc w:val="center"/>
        <w:rPr>
          <w:rFonts w:ascii="Arial" w:eastAsia="Times New Roman" w:hAnsi="Arial" w:cs="Arial"/>
          <w:b/>
          <w:szCs w:val="24"/>
          <w:lang w:eastAsia="pt-BR"/>
        </w:rPr>
      </w:pPr>
    </w:p>
    <w:p w:rsidR="004F251B" w:rsidRPr="00756229" w:rsidRDefault="004F251B" w:rsidP="00756229"/>
    <w:sectPr w:rsidR="004F251B" w:rsidRPr="00756229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81F" w:rsidRDefault="00F7081F" w:rsidP="00126850">
      <w:pPr>
        <w:spacing w:line="240" w:lineRule="auto"/>
      </w:pPr>
      <w:r>
        <w:separator/>
      </w:r>
    </w:p>
  </w:endnote>
  <w:endnote w:type="continuationSeparator" w:id="0">
    <w:p w:rsidR="00F7081F" w:rsidRDefault="00F7081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C5A22" w:rsidRDefault="001E186C" w:rsidP="001E186C">
    <w:pPr>
      <w:pStyle w:val="Rodap"/>
      <w:jc w:val="center"/>
      <w:rPr>
        <w:rFonts w:ascii="Cambria" w:hAnsi="Cambria"/>
        <w:b/>
        <w:szCs w:val="24"/>
      </w:rPr>
    </w:pPr>
    <w:r w:rsidRPr="009C5A22">
      <w:rPr>
        <w:rFonts w:ascii="Cambria" w:hAnsi="Cambria"/>
        <w:b/>
        <w:szCs w:val="24"/>
      </w:rPr>
      <w:t>_________________________________________________________________________________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Rua São Bento, 887, Centro, Araraquara - SP, CEP 14801-300</w:t>
    </w:r>
  </w:p>
  <w:p w:rsidR="001E186C" w:rsidRPr="009C5A22" w:rsidRDefault="001E186C" w:rsidP="001E186C">
    <w:pPr>
      <w:pStyle w:val="Rodap"/>
      <w:jc w:val="center"/>
      <w:rPr>
        <w:rFonts w:ascii="Cambria" w:hAnsi="Cambria"/>
        <w:sz w:val="20"/>
        <w:szCs w:val="20"/>
      </w:rPr>
    </w:pPr>
    <w:r w:rsidRPr="009C5A22">
      <w:rPr>
        <w:rFonts w:ascii="Cambria" w:hAnsi="Cambria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81F" w:rsidRDefault="00F7081F" w:rsidP="00126850">
      <w:pPr>
        <w:spacing w:line="240" w:lineRule="auto"/>
      </w:pPr>
      <w:r>
        <w:separator/>
      </w:r>
    </w:p>
  </w:footnote>
  <w:footnote w:type="continuationSeparator" w:id="0">
    <w:p w:rsidR="00F7081F" w:rsidRDefault="00F7081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 w:rsidRPr="009C5A22">
      <w:rPr>
        <w:noProof/>
        <w:color w:val="4F81BD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9C5A22">
      <w:rPr>
        <w:rFonts w:ascii="Cambria" w:hAnsi="Cambria"/>
        <w:smallCaps/>
        <w:color w:val="548DD4"/>
        <w:sz w:val="50"/>
      </w:rPr>
      <w:t>Câmara Municipal de Araraquara</w:t>
    </w:r>
  </w:p>
  <w:p w:rsidR="002F5765" w:rsidRPr="001E186C" w:rsidRDefault="009C5A2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5A22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D570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67755-03B8-42D1-A3E1-D577F887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640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3</cp:revision>
  <cp:lastPrinted>2018-06-08T17:01:00Z</cp:lastPrinted>
  <dcterms:created xsi:type="dcterms:W3CDTF">2018-06-19T17:03:00Z</dcterms:created>
  <dcterms:modified xsi:type="dcterms:W3CDTF">2018-10-23T20:51:00Z</dcterms:modified>
</cp:coreProperties>
</file>