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5D5" w:rsidRDefault="00B75EF4" w:rsidP="000D75D5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2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2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5" o:title="brasão - sem assinatura"/>
            <w10:wrap type="square"/>
          </v:shape>
        </w:pict>
      </w:r>
    </w:p>
    <w:p w:rsidR="000D75D5" w:rsidRDefault="000D75D5" w:rsidP="000D75D5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Pr="000D75D5">
        <w:t xml:space="preserve"> </w:t>
      </w:r>
      <w:r w:rsidRPr="000D75D5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0D75D5" w:rsidRDefault="000D75D5" w:rsidP="000D75D5">
      <w:pPr>
        <w:pStyle w:val="Cabealho"/>
      </w:pPr>
    </w:p>
    <w:p w:rsidR="00C06142" w:rsidRPr="00A83EC7" w:rsidRDefault="00C06142" w:rsidP="00393C44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RESOLUÇÃO NÚMERO 4</w:t>
      </w:r>
      <w:r w:rsidR="001059A9">
        <w:rPr>
          <w:rFonts w:ascii="Tahoma" w:hAnsi="Tahoma" w:cs="Tahoma"/>
          <w:b/>
          <w:bCs/>
          <w:sz w:val="32"/>
          <w:szCs w:val="32"/>
          <w:u w:val="single"/>
        </w:rPr>
        <w:t>4</w:t>
      </w:r>
      <w:r>
        <w:rPr>
          <w:rFonts w:ascii="Tahoma" w:hAnsi="Tahoma" w:cs="Tahoma"/>
          <w:b/>
          <w:bCs/>
          <w:sz w:val="32"/>
          <w:szCs w:val="32"/>
          <w:u w:val="single"/>
        </w:rPr>
        <w:t>1</w:t>
      </w:r>
    </w:p>
    <w:p w:rsidR="00C06142" w:rsidRDefault="00C06142" w:rsidP="00393C44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503C43">
        <w:rPr>
          <w:rFonts w:ascii="Tahoma" w:hAnsi="Tahoma" w:cs="Tahoma"/>
          <w:sz w:val="32"/>
          <w:szCs w:val="32"/>
        </w:rPr>
        <w:t>09</w:t>
      </w:r>
      <w:r>
        <w:rPr>
          <w:rFonts w:ascii="Tahoma" w:hAnsi="Tahoma" w:cs="Tahoma"/>
          <w:sz w:val="32"/>
          <w:szCs w:val="32"/>
        </w:rPr>
        <w:t xml:space="preserve"> de </w:t>
      </w:r>
      <w:r w:rsidR="00503C43">
        <w:rPr>
          <w:rFonts w:ascii="Tahoma" w:hAnsi="Tahoma" w:cs="Tahoma"/>
          <w:sz w:val="32"/>
          <w:szCs w:val="32"/>
        </w:rPr>
        <w:t>outu</w:t>
      </w:r>
      <w:r w:rsidR="001059A9">
        <w:rPr>
          <w:rFonts w:ascii="Tahoma" w:hAnsi="Tahoma" w:cs="Tahoma"/>
          <w:sz w:val="32"/>
          <w:szCs w:val="32"/>
        </w:rPr>
        <w:t>b</w:t>
      </w:r>
      <w:r w:rsidR="003D7273">
        <w:rPr>
          <w:rFonts w:ascii="Tahoma" w:hAnsi="Tahoma" w:cs="Tahoma"/>
          <w:sz w:val="32"/>
          <w:szCs w:val="32"/>
        </w:rPr>
        <w:t xml:space="preserve">ro </w:t>
      </w:r>
      <w:r>
        <w:rPr>
          <w:rFonts w:ascii="Tahoma" w:hAnsi="Tahoma" w:cs="Tahoma"/>
          <w:sz w:val="32"/>
          <w:szCs w:val="32"/>
        </w:rPr>
        <w:t>de 201</w:t>
      </w:r>
      <w:r w:rsidR="0069310C">
        <w:rPr>
          <w:rFonts w:ascii="Tahoma" w:hAnsi="Tahoma" w:cs="Tahoma"/>
          <w:sz w:val="32"/>
          <w:szCs w:val="32"/>
        </w:rPr>
        <w:t>8</w:t>
      </w:r>
    </w:p>
    <w:p w:rsidR="00C06142" w:rsidRPr="00A83EC7" w:rsidRDefault="004030D9" w:rsidP="00393C44">
      <w:pPr>
        <w:jc w:val="center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sz w:val="32"/>
          <w:szCs w:val="32"/>
        </w:rPr>
        <w:t>Iniciativa</w:t>
      </w:r>
      <w:r w:rsidR="00C06142">
        <w:rPr>
          <w:rFonts w:ascii="Tahoma" w:hAnsi="Tahoma" w:cs="Tahoma"/>
          <w:b/>
          <w:bCs/>
          <w:sz w:val="32"/>
          <w:szCs w:val="32"/>
        </w:rPr>
        <w:t xml:space="preserve">: </w:t>
      </w:r>
      <w:r w:rsidR="001059A9">
        <w:rPr>
          <w:rFonts w:ascii="Tahoma" w:hAnsi="Tahoma" w:cs="Tahoma"/>
          <w:b/>
          <w:bCs/>
          <w:sz w:val="32"/>
          <w:szCs w:val="32"/>
        </w:rPr>
        <w:t>MESA DA CÂMARA MUNICIPAL DE ARARAQUARA</w:t>
      </w:r>
    </w:p>
    <w:p w:rsidR="00C06142" w:rsidRPr="000C27D0" w:rsidRDefault="00C06142" w:rsidP="00393C44">
      <w:pPr>
        <w:jc w:val="both"/>
        <w:rPr>
          <w:rFonts w:ascii="Calibri" w:hAnsi="Calibri" w:cs="Calibri"/>
          <w:sz w:val="16"/>
          <w:szCs w:val="16"/>
        </w:rPr>
      </w:pPr>
    </w:p>
    <w:p w:rsidR="00C06142" w:rsidRPr="000C27D0" w:rsidRDefault="00C06142" w:rsidP="00393C44">
      <w:pPr>
        <w:jc w:val="both"/>
        <w:rPr>
          <w:rFonts w:ascii="Calibri" w:hAnsi="Calibri" w:cs="Calibri"/>
          <w:sz w:val="16"/>
          <w:szCs w:val="16"/>
        </w:rPr>
      </w:pPr>
    </w:p>
    <w:p w:rsidR="00C06142" w:rsidRPr="00652DB3" w:rsidRDefault="001059A9" w:rsidP="00652DB3">
      <w:pPr>
        <w:ind w:left="4678"/>
        <w:jc w:val="both"/>
        <w:rPr>
          <w:rFonts w:ascii="Calibri" w:hAnsi="Calibri" w:cs="Calibri"/>
        </w:rPr>
      </w:pPr>
      <w:r w:rsidRPr="001059A9">
        <w:rPr>
          <w:rFonts w:ascii="Calibri" w:hAnsi="Calibri" w:cs="Calibri"/>
        </w:rPr>
        <w:t>Altera a Resolução nº 424, de 29 de setembro de 2015, de modo a atualizar as unidades, atividades e vagas disponíveis para a concessão de estágio, e dá outras providências.</w:t>
      </w:r>
    </w:p>
    <w:p w:rsidR="00C06142" w:rsidRPr="000C27D0" w:rsidRDefault="00C06142" w:rsidP="00393C44">
      <w:pPr>
        <w:jc w:val="both"/>
        <w:rPr>
          <w:rFonts w:ascii="Calibri" w:hAnsi="Calibri" w:cs="Calibri"/>
          <w:sz w:val="16"/>
          <w:szCs w:val="16"/>
        </w:rPr>
      </w:pPr>
    </w:p>
    <w:p w:rsidR="00C06142" w:rsidRPr="000C27D0" w:rsidRDefault="00C06142" w:rsidP="00393C44">
      <w:pPr>
        <w:jc w:val="both"/>
        <w:rPr>
          <w:rFonts w:ascii="Calibri" w:hAnsi="Calibri" w:cs="Calibri"/>
          <w:sz w:val="16"/>
          <w:szCs w:val="16"/>
        </w:rPr>
      </w:pPr>
    </w:p>
    <w:p w:rsidR="00C06142" w:rsidRPr="000C27D0" w:rsidRDefault="00C06142" w:rsidP="003B538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 w:rsidR="003B5389">
        <w:rPr>
          <w:rFonts w:ascii="Calibri" w:hAnsi="Calibri" w:cs="Calibri"/>
          <w:bCs/>
          <w:iCs/>
          <w:sz w:val="24"/>
          <w:szCs w:val="24"/>
        </w:rPr>
        <w:tab/>
      </w:r>
      <w:r w:rsidRPr="000C27D0">
        <w:rPr>
          <w:rFonts w:ascii="Calibri" w:hAnsi="Calibri" w:cs="Calibri"/>
          <w:sz w:val="24"/>
          <w:szCs w:val="24"/>
        </w:rPr>
        <w:t>O PRESIDENTE deste Legislativo, usando da atribuição que lhe é conferida pel</w:t>
      </w:r>
      <w:r w:rsidR="00845D08">
        <w:rPr>
          <w:rFonts w:ascii="Calibri" w:hAnsi="Calibri" w:cs="Calibri"/>
          <w:sz w:val="24"/>
          <w:szCs w:val="24"/>
        </w:rPr>
        <w:t xml:space="preserve">a alínea </w:t>
      </w:r>
      <w:r w:rsidR="00845D08">
        <w:rPr>
          <w:rFonts w:ascii="Calibri" w:hAnsi="Calibri" w:cs="Calibri"/>
          <w:i/>
          <w:sz w:val="24"/>
          <w:szCs w:val="24"/>
        </w:rPr>
        <w:t xml:space="preserve">g </w:t>
      </w:r>
      <w:r w:rsidR="00845D08">
        <w:rPr>
          <w:rFonts w:ascii="Calibri" w:hAnsi="Calibri" w:cs="Calibri"/>
          <w:sz w:val="24"/>
          <w:szCs w:val="24"/>
        </w:rPr>
        <w:t>do inciso II d</w:t>
      </w:r>
      <w:r w:rsidRPr="000C27D0">
        <w:rPr>
          <w:rFonts w:ascii="Calibri" w:hAnsi="Calibri" w:cs="Calibri"/>
          <w:sz w:val="24"/>
          <w:szCs w:val="24"/>
        </w:rPr>
        <w:t>o artigo 32</w:t>
      </w:r>
      <w:r w:rsidR="00845D08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Pr="000C27D0">
        <w:rPr>
          <w:rFonts w:ascii="Calibri" w:hAnsi="Calibri" w:cs="Calibri"/>
          <w:sz w:val="24"/>
          <w:szCs w:val="24"/>
        </w:rPr>
        <w:t xml:space="preserve">, </w:t>
      </w:r>
      <w:r w:rsidR="00845D08">
        <w:rPr>
          <w:rFonts w:ascii="Calibri" w:hAnsi="Calibri" w:cs="Calibri"/>
          <w:sz w:val="24"/>
          <w:szCs w:val="24"/>
        </w:rPr>
        <w:t>anexo à</w:t>
      </w:r>
      <w:r w:rsidRPr="000C27D0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</w:t>
      </w:r>
      <w:r>
        <w:rPr>
          <w:rFonts w:ascii="Calibri" w:hAnsi="Calibri" w:cs="Calibri"/>
          <w:sz w:val="24"/>
          <w:szCs w:val="24"/>
        </w:rPr>
        <w:t xml:space="preserve">rio em sessão ordinária de </w:t>
      </w:r>
      <w:r w:rsidR="000874E7">
        <w:rPr>
          <w:rFonts w:ascii="Calibri" w:hAnsi="Calibri" w:cs="Calibri"/>
          <w:sz w:val="24"/>
          <w:szCs w:val="24"/>
        </w:rPr>
        <w:t>09</w:t>
      </w:r>
      <w:r w:rsidR="003D7273">
        <w:rPr>
          <w:rFonts w:ascii="Calibri" w:hAnsi="Calibri" w:cs="Calibri"/>
          <w:sz w:val="24"/>
          <w:szCs w:val="24"/>
        </w:rPr>
        <w:t xml:space="preserve"> </w:t>
      </w:r>
      <w:r w:rsidRPr="000C27D0">
        <w:rPr>
          <w:rFonts w:ascii="Calibri" w:hAnsi="Calibri" w:cs="Calibri"/>
          <w:sz w:val="24"/>
          <w:szCs w:val="24"/>
        </w:rPr>
        <w:t xml:space="preserve">de </w:t>
      </w:r>
      <w:r w:rsidR="000874E7">
        <w:rPr>
          <w:rFonts w:ascii="Calibri" w:hAnsi="Calibri" w:cs="Calibri"/>
          <w:sz w:val="24"/>
          <w:szCs w:val="24"/>
        </w:rPr>
        <w:t>outu</w:t>
      </w:r>
      <w:r w:rsidR="001059A9">
        <w:rPr>
          <w:rFonts w:ascii="Calibri" w:hAnsi="Calibri" w:cs="Calibri"/>
          <w:sz w:val="24"/>
          <w:szCs w:val="24"/>
        </w:rPr>
        <w:t>br</w:t>
      </w:r>
      <w:r w:rsidR="003D7273">
        <w:rPr>
          <w:rFonts w:ascii="Calibri" w:hAnsi="Calibri" w:cs="Calibri"/>
          <w:sz w:val="24"/>
          <w:szCs w:val="24"/>
        </w:rPr>
        <w:t xml:space="preserve">o </w:t>
      </w:r>
      <w:r w:rsidRPr="000C27D0">
        <w:rPr>
          <w:rFonts w:ascii="Calibri" w:hAnsi="Calibri" w:cs="Calibri"/>
          <w:sz w:val="24"/>
          <w:szCs w:val="24"/>
        </w:rPr>
        <w:t>de 201</w:t>
      </w:r>
      <w:r w:rsidR="001059A9">
        <w:rPr>
          <w:rFonts w:ascii="Calibri" w:hAnsi="Calibri" w:cs="Calibri"/>
          <w:sz w:val="24"/>
          <w:szCs w:val="24"/>
        </w:rPr>
        <w:t>8</w:t>
      </w:r>
      <w:r w:rsidRPr="000C27D0">
        <w:rPr>
          <w:rFonts w:ascii="Calibri" w:hAnsi="Calibri" w:cs="Calibri"/>
          <w:sz w:val="24"/>
          <w:szCs w:val="24"/>
        </w:rPr>
        <w:t>, promulga a seguinte</w:t>
      </w:r>
    </w:p>
    <w:p w:rsidR="00C06142" w:rsidRPr="009D0CF1" w:rsidRDefault="00C06142" w:rsidP="00393C44">
      <w:pPr>
        <w:jc w:val="both"/>
        <w:rPr>
          <w:rFonts w:ascii="Calibri" w:hAnsi="Calibri" w:cs="Calibri"/>
          <w:sz w:val="16"/>
          <w:szCs w:val="16"/>
        </w:rPr>
      </w:pPr>
    </w:p>
    <w:p w:rsidR="00C06142" w:rsidRPr="000C27D0" w:rsidRDefault="00C06142" w:rsidP="00393C44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0C27D0">
        <w:rPr>
          <w:rFonts w:ascii="Tahoma" w:hAnsi="Tahoma" w:cs="Tahoma"/>
          <w:b/>
          <w:bCs/>
          <w:sz w:val="32"/>
          <w:szCs w:val="32"/>
          <w:u w:val="single"/>
        </w:rPr>
        <w:t>RESOLUÇÃO</w:t>
      </w:r>
    </w:p>
    <w:p w:rsidR="00DE2CC1" w:rsidRPr="00DE2CC1" w:rsidRDefault="00C06142" w:rsidP="00DE2CC1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sz w:val="24"/>
          <w:szCs w:val="24"/>
        </w:rPr>
        <w:tab/>
      </w:r>
      <w:r w:rsidR="00DE2CC1" w:rsidRPr="00DE2CC1">
        <w:rPr>
          <w:rFonts w:ascii="Calibri" w:hAnsi="Calibri" w:cs="Calibri"/>
          <w:sz w:val="24"/>
          <w:szCs w:val="24"/>
        </w:rPr>
        <w:t xml:space="preserve"> 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ab/>
      </w:r>
      <w:r w:rsidRPr="001059A9">
        <w:rPr>
          <w:rFonts w:ascii="Calibri" w:hAnsi="Calibri" w:cs="Calibri"/>
          <w:sz w:val="24"/>
          <w:szCs w:val="24"/>
        </w:rPr>
        <w:tab/>
        <w:t>Art. 1º Na parte dispositiva da Resolução nº 424, de 29 de setembro de 2015, faça-se as seguintes alterações: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059A9">
        <w:rPr>
          <w:rFonts w:ascii="Calibri" w:hAnsi="Calibri" w:cs="Calibri"/>
          <w:sz w:val="24"/>
          <w:szCs w:val="24"/>
        </w:rPr>
        <w:t>I – o título “DISPOSIÇÕES INICIAIS”, alocado entre o preâmbulo e o art. 1º, fica denominado “CAPÍTULO I – DISPOSIÇÕES INICIAIS”; (NR)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059A9">
        <w:rPr>
          <w:rFonts w:ascii="Calibri" w:hAnsi="Calibri" w:cs="Calibri"/>
          <w:sz w:val="24"/>
          <w:szCs w:val="24"/>
        </w:rPr>
        <w:t>II – o título “DAS MODALIDADES DE ESTÁGIO”, alocado entre o inciso III do art. 2º e o “caput” do art. 3º, fica denominado “CAPÍTULO II – DAS MODALIDADES DE ESTÁGIO”; (NR)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059A9">
        <w:rPr>
          <w:rFonts w:ascii="Calibri" w:hAnsi="Calibri" w:cs="Calibri"/>
          <w:sz w:val="24"/>
          <w:szCs w:val="24"/>
        </w:rPr>
        <w:t>III – o título “DO ESTÁGIO NÃO OBRIGATÓRIO”, alocado entre o parágrafo único do art. 3º e o art. 4º, fica denominado “SEÇÃO I – DO ESTÁGIO NÃO OBRIGATÓRIO”; (NR)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059A9">
        <w:rPr>
          <w:rFonts w:ascii="Calibri" w:hAnsi="Calibri" w:cs="Calibri"/>
          <w:sz w:val="24"/>
          <w:szCs w:val="24"/>
        </w:rPr>
        <w:t>IV – o título “DO ESTÁGIO OBRIGATÓRIO”, alocado entre o inciso IV do art. 8º e o art. 9º, fica denominado “SEÇÃO II – DO ESTÁGIO OBRIGATÓRIO”; (NR)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059A9">
        <w:rPr>
          <w:rFonts w:ascii="Calibri" w:hAnsi="Calibri" w:cs="Calibri"/>
          <w:sz w:val="24"/>
          <w:szCs w:val="24"/>
        </w:rPr>
        <w:t>V – o título “DA DURAÇÃO DO ESTÁGIO”, alocado entre o § 2º do art. 12 e o “caput” do art. 13, fica denominado “CAPÍTULO IV – DA DURAÇÃO DO ESTÁGIO”; (NR)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059A9">
        <w:rPr>
          <w:rFonts w:ascii="Calibri" w:hAnsi="Calibri" w:cs="Calibri"/>
          <w:sz w:val="24"/>
          <w:szCs w:val="24"/>
        </w:rPr>
        <w:t>VI – o título “DAS ATRIBUIÇÕES DOS ESTAGIÁRIOS E DA SUPERVISÃO DO ESTÁGIO”, alocado entre o parágrafo único do art. 13 e o “caput” do art. 14, fica denominado “CAPÍTULO V – DAS ATRIBUIÇÕES DOS ESTAGIÁRIOS E DA SUPERVISÃO DO ESTÁGIO”; (NR)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059A9">
        <w:rPr>
          <w:rFonts w:ascii="Calibri" w:hAnsi="Calibri" w:cs="Calibri"/>
          <w:sz w:val="24"/>
          <w:szCs w:val="24"/>
        </w:rPr>
        <w:t>VII – o título “DOS DEVERES DOS ESTAGIÁRIOS”, alocado entre o parágrafo único do art. 15 e o “caput” do art. 16, fica denominado “CAPÍTULO VI – DOS DEVERES DOS ESTAGIÁRIOS”; (NR)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Pr="001059A9">
        <w:rPr>
          <w:rFonts w:ascii="Calibri" w:hAnsi="Calibri" w:cs="Calibri"/>
          <w:sz w:val="24"/>
          <w:szCs w:val="24"/>
        </w:rPr>
        <w:t>VIII – o título “DA INTERRUPÇÃO DO ESTÁGIO”, alocado entre o inciso V do art. 16 e o “caput” do art. 17, fica denominado “CAPÍTULO VII – DA INTERRUPÇÃO DO ESTÁGIO”; (NR)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059A9">
        <w:rPr>
          <w:rFonts w:ascii="Calibri" w:hAnsi="Calibri" w:cs="Calibri"/>
          <w:sz w:val="24"/>
          <w:szCs w:val="24"/>
        </w:rPr>
        <w:t>IX – o título “DISPOSIÇÕES FINAIS”, alocado entre a alínea “e” do inciso II do art. 17 e o “caput” do art. 18, fica denominado “CAPÍTULO VIII – DISPOSIÇÕES FINAIS”. (NR)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ab/>
      </w:r>
      <w:r w:rsidRPr="001059A9">
        <w:rPr>
          <w:rFonts w:ascii="Calibri" w:hAnsi="Calibri" w:cs="Calibri"/>
          <w:sz w:val="24"/>
          <w:szCs w:val="24"/>
        </w:rPr>
        <w:tab/>
        <w:t>Art. 2º Fica renumerado como § 1º o parágrafo único do artigo 3º da Resolução nº 424, de 29 de setembro de 2015, acrescendo-se a tal dispositivo o § 2º, com a seguinte redação: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>“Art. 3º ...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>§ 1º Os convênios vigorarão por 3 (três) anos, sendo permitida a prorrogação por igual período, havendo interesse recíproco das partes, mediante termo aditivo ao convênio.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>§ 2º Ambas as modalidades de estágio serão formalizadas através da celebração de termo de convênio de concessão de estágio com instituições de ensino e termo de compromisso com o estudante.” (NR)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ab/>
      </w:r>
      <w:r w:rsidRPr="001059A9">
        <w:rPr>
          <w:rFonts w:ascii="Calibri" w:hAnsi="Calibri" w:cs="Calibri"/>
          <w:sz w:val="24"/>
          <w:szCs w:val="24"/>
        </w:rPr>
        <w:tab/>
        <w:t>Art. 3º Acresça-se o parágrafo único ao artigo 8º da Resolução nº 424, de 29 de setembro de 2015, com a seguinte redação: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>“Art. 8º...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>Parágrafo único. Ato da Mesa da Câmara Municipal de Araraquara poderá atualizar os valores mencionados neste artigo, tomando-se sempre por base índices oficiais.” (NR)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ab/>
      </w:r>
      <w:r w:rsidRPr="001059A9">
        <w:rPr>
          <w:rFonts w:ascii="Calibri" w:hAnsi="Calibri" w:cs="Calibri"/>
          <w:sz w:val="24"/>
          <w:szCs w:val="24"/>
        </w:rPr>
        <w:tab/>
        <w:t>Art. 4º Acresça-se o art. 11-A à Resolução nº 424, de 29 de setembro de 2015, com a seguinte redação: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>“Art. 11-A. Antes da publicação do edital a que se refere o art. 12-C, caberá à Câmara Municipal de Araraquara a divulgação, por meio de publicação em jornal local, das oportunidades de estágio obrigatório, para que todas as instituições de ensino interessadas possam propor a celebração de convênio com a Câmara Municipal de Araraquara.” (NR)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ab/>
      </w:r>
      <w:r w:rsidRPr="001059A9">
        <w:rPr>
          <w:rFonts w:ascii="Calibri" w:hAnsi="Calibri" w:cs="Calibri"/>
          <w:sz w:val="24"/>
          <w:szCs w:val="24"/>
        </w:rPr>
        <w:tab/>
        <w:t>Art. 5º Inclua-se, na Resolução nº 424, de 29 de setembro de 2015, o “Capítulo III – DO PROCESSO SELETIVO DE ESTAGIÁRIOS”, compreendido pelos artigos 12-A a 12-D, com a seguinte redação: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>“Art. 12-A. O processo seletivo para admissão de estagiários da Câmara Municipal de Araraquara, nas modalidades de estágio obrigatório e não obrigatório, compreenderá as seguintes fases: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>I – fase interna, em que serão realizados os procedimentos preparatórios para a seleção de estagiários;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>II – fase externa, iniciada com a publicação do edital disciplinador do processo seletivo propriamente dito.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>Art. 12-B. A fase interna do processo seletivo para admissão de estagiários compreende os seguintes elementos básicos: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>I – manifestação de interesse, pelas unidades da Câmara Municipal de Araraquara que possuam vagas para estagiários, em admitir estagiários;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>II – definição das áreas de formação e experiência profissional dos servidores lotados na unidade interessada, para fins de determinação de supervisão de estagiários, e correspondente definição de pertinência temática com cursos de ensino superior;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>III – definição do perfil de estagiário, a partir do inciso II deste artigo, e da quantidade de vagas de estágio a serem ofertadas no processo seletivo, observando-se o disposto no art. 18 desta Resolução;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>IV – definição do conteúdo programático a ser exigido dos candidatos às vagas de estágio a serem ofertadas, em consonância com a descrição das atividades a serem desenvolvidas na unidade e com o curso de ensino superior definido;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>V – estruturação do edital de processo seletivo.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>§ 1º A seleção de estagiários, nas modalidades de estágio obrigatório e não obrigatório, ocorrerá mediante aplicação de prova escrita objetiva ou discursiva, que avaliará conhecimentos específicos da atividade do estágio a que se destina, conhecimentos do curso do ensino superior correspondente e conhecimentos da língua portuguesa.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>§ 2º Na modalidade de estágio obrigatório, o processo seletivo poderá ser conduzido por agente de integração, nos termos do correspondente convênio de serviços, hipótese em que este será responsável pelo processo seletivo, cabendo à Câmara Municipal de Araraquara a sua supervisão.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 xml:space="preserve">§ 3º Os processos seletivos para admissão de estagiários ocorrerão com frequência trimestral, competindo à </w:t>
      </w:r>
      <w:proofErr w:type="spellStart"/>
      <w:r w:rsidRPr="001059A9">
        <w:rPr>
          <w:rFonts w:ascii="Calibri" w:hAnsi="Calibri" w:cs="Calibri"/>
          <w:sz w:val="24"/>
          <w:szCs w:val="24"/>
        </w:rPr>
        <w:t>Secretaria-Geral</w:t>
      </w:r>
      <w:proofErr w:type="spellEnd"/>
      <w:r w:rsidRPr="001059A9">
        <w:rPr>
          <w:rFonts w:ascii="Calibri" w:hAnsi="Calibri" w:cs="Calibri"/>
          <w:sz w:val="24"/>
          <w:szCs w:val="24"/>
        </w:rPr>
        <w:t xml:space="preserve"> da Câmara Municipal de Araraquara definir os prazos máximos para a manifestação prevista no inciso I do “caput” deste artigo, bem como recepcionar tais manifestações.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 xml:space="preserve">Art. 12-C. A fase externa do processo seletivo de admissão de estagiários inicia-se com a publicação do correspondente edital, que deverá ocorrer com antecedência mínima de 10 (dez) dias. 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 xml:space="preserve">§ 1º Ademais das informações constantes do artigo 12-B desta Resolução, o edital de processo seletivo deverá indicar: 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>I – meio e prazo de realização de inscrição;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>II – local e horário de realização das provas;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>III – as espécies de provas a serem aplicadas e o prazo para sua realização;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>IV – meio, data e local de divulgação de gabaritos ou espelhos de provas;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>V – prazo e local para apresentação de recursos contra gabaritos ou espelhos de provas, bem como contra os resultados das provas;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lastRenderedPageBreak/>
        <w:t>VI – prazo de validade do processo seletivo, que não poderá ser superior a 01 (um) ano;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>VII – prazo máximo de manifestação de interesse em ingressar no estágio.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ab/>
      </w:r>
      <w:r w:rsidRPr="001059A9">
        <w:rPr>
          <w:rFonts w:ascii="Calibri" w:hAnsi="Calibri" w:cs="Calibri"/>
          <w:sz w:val="24"/>
          <w:szCs w:val="24"/>
        </w:rPr>
        <w:tab/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>§ 2º Em havendo pluralidade de vagas ofertadas para seleção de estagiários com atuação em mesma atividade ou de cursos/áreas de mesma pertinência temática, porém para distintas unidades de alocação do estagiário, caberá à pessoa mais bem colocada no processo seletivo a prioridade na escolha para o setor em que irá desempenhar o estágio.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>Art. 12-D. Ato da Mesa Diretora poderá regulamentar as fases interna e externa do processo seletivo de estagiários da Câmara Municipal de Araraquara.” (NR)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ab/>
      </w:r>
      <w:r w:rsidRPr="001059A9">
        <w:rPr>
          <w:rFonts w:ascii="Calibri" w:hAnsi="Calibri" w:cs="Calibri"/>
          <w:sz w:val="24"/>
          <w:szCs w:val="24"/>
        </w:rPr>
        <w:tab/>
        <w:t>Art. 6º Fica renumerado como § 1º o parágrafo único do artigo 13 da Resolução nº 424, de 29 de setembro de 2015, acrescendo-se a tal dispositivo os §§ 2º e 3º, com a seguinte redação: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>“Art. 13. ...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 xml:space="preserve">§ 1º A prorrogação ocorrerá mediante solicitação do supervisor, formulada com 30 (trinta) dias de antecedência, que será encaminhada, juntamente com o termo de prorrogação de estágio, devidamente assinado pelo estagiário, à respectiva área de gestão de pessoas, comunicando-se sua eventual aprovação à instituição de ensino. 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 xml:space="preserve">§ 2º Exclusivamente para as hipóteses de estágio desenvolvidas junto aos gabinetes de Vereadores, o estágio não poderá se estender para além da legislatura em que iniciado.  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 xml:space="preserve">§ 3º As disposições do § 2º deste artigo deverão obrigatoriamente constar nos convênios previstos no art. 11-A e no § 2º do art. 12-B desta Resolução, bem como nos termos de compromisso de estágio firmados pela Câmara Municipal de Araraquara.” (NR) 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ab/>
      </w:r>
      <w:r w:rsidRPr="001059A9">
        <w:rPr>
          <w:rFonts w:ascii="Calibri" w:hAnsi="Calibri" w:cs="Calibri"/>
          <w:sz w:val="24"/>
          <w:szCs w:val="24"/>
        </w:rPr>
        <w:tab/>
        <w:t>Art. 7º Fica acrescida a alínea “f” ao inciso II do art. 17 da Resolução nº 424, de 29 de setembro de 2015, com a seguinte redação: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ab/>
      </w:r>
      <w:r w:rsidRPr="001059A9">
        <w:rPr>
          <w:rFonts w:ascii="Calibri" w:hAnsi="Calibri" w:cs="Calibri"/>
          <w:sz w:val="24"/>
          <w:szCs w:val="24"/>
        </w:rPr>
        <w:tab/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>“Art. 17 ...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>...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>II – ...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>...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>f) o supervisor do estagiário, por qualquer motivo, não mais estiver vinculado ao setor em que o estagiário desenvolver suas atividades, sem que, no prazo máximo de 30 (trinta) dias, haja a designação de novo supervisor para o estagiário.” (NR)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lastRenderedPageBreak/>
        <w:tab/>
      </w:r>
      <w:r w:rsidRPr="001059A9">
        <w:rPr>
          <w:rFonts w:ascii="Calibri" w:hAnsi="Calibri" w:cs="Calibri"/>
          <w:sz w:val="24"/>
          <w:szCs w:val="24"/>
        </w:rPr>
        <w:tab/>
        <w:t>Art. 8º O Anexo Único da Resolução nº 424, de 29 de setembro de 2015, passa a vigorar com as seguintes alterações: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>“ANEXO ÚNICO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>SETORES, ATIVIDADES E VAGAS DISPONÍVEIS PARA A CONCESSÃO DE ESTÁGIO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5011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3"/>
        <w:gridCol w:w="3193"/>
        <w:gridCol w:w="1280"/>
        <w:gridCol w:w="1552"/>
        <w:gridCol w:w="1754"/>
      </w:tblGrid>
      <w:tr w:rsidR="001059A9" w:rsidRPr="001059A9" w:rsidTr="00D26E53">
        <w:tc>
          <w:tcPr>
            <w:tcW w:w="8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Unidade</w:t>
            </w:r>
          </w:p>
        </w:tc>
        <w:tc>
          <w:tcPr>
            <w:tcW w:w="19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Atividades:</w:t>
            </w:r>
          </w:p>
        </w:tc>
        <w:tc>
          <w:tcPr>
            <w:tcW w:w="6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Vaga(s)</w:t>
            </w:r>
          </w:p>
        </w:tc>
        <w:tc>
          <w:tcPr>
            <w:tcW w:w="8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Curso/ Grau:</w:t>
            </w:r>
          </w:p>
        </w:tc>
        <w:tc>
          <w:tcPr>
            <w:tcW w:w="6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Tipo de estágio</w:t>
            </w:r>
          </w:p>
        </w:tc>
      </w:tr>
      <w:tr w:rsidR="001059A9" w:rsidRPr="001059A9" w:rsidTr="00D26E53">
        <w:tc>
          <w:tcPr>
            <w:tcW w:w="8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1) Procuradoria</w:t>
            </w:r>
          </w:p>
        </w:tc>
        <w:tc>
          <w:tcPr>
            <w:tcW w:w="19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Rotinas específicas da área do Direito, podendo envolver áreas Administrativas, Constitucionais e outras, bem como outras atividades condizentes com a formação do estagiário.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(01) uma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Direito</w:t>
            </w:r>
          </w:p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Cursando nível superior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Não obrigatório</w:t>
            </w:r>
          </w:p>
        </w:tc>
      </w:tr>
      <w:tr w:rsidR="001059A9" w:rsidRPr="001059A9" w:rsidTr="00D26E53">
        <w:trPr>
          <w:trHeight w:val="1032"/>
        </w:trPr>
        <w:tc>
          <w:tcPr>
            <w:tcW w:w="8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2) Diretoria Legislativa</w:t>
            </w:r>
          </w:p>
        </w:tc>
        <w:tc>
          <w:tcPr>
            <w:tcW w:w="19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Rotinas específicas da Diretoria Legislativa e da Gerência de Expediente do Legislativo, incluindo outras condizentes com a formação do estagiário.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(03) três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Administração Pública ou Direito</w:t>
            </w:r>
          </w:p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Cursando nível superior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Obrigatório/Não obrigatório</w:t>
            </w:r>
          </w:p>
        </w:tc>
      </w:tr>
      <w:tr w:rsidR="001059A9" w:rsidRPr="001059A9" w:rsidTr="00D26E53">
        <w:trPr>
          <w:trHeight w:val="270"/>
        </w:trPr>
        <w:tc>
          <w:tcPr>
            <w:tcW w:w="8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3) REVOGADO</w:t>
            </w:r>
          </w:p>
        </w:tc>
        <w:tc>
          <w:tcPr>
            <w:tcW w:w="19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REVOGADO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REVOGADO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REVOGADO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REVOGADO</w:t>
            </w:r>
          </w:p>
        </w:tc>
      </w:tr>
      <w:tr w:rsidR="001059A9" w:rsidRPr="001059A9" w:rsidTr="00D26E53">
        <w:tc>
          <w:tcPr>
            <w:tcW w:w="8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4) Gerência de Tecnologia da Informação</w:t>
            </w:r>
          </w:p>
        </w:tc>
        <w:tc>
          <w:tcPr>
            <w:tcW w:w="19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Rotinas específicas da Gerência de Tecnologia da Informação e outras atividades com a formação do estagiário.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(01) uma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Ciências da Computação, Sistemas de Informação ou Engenharia da Computação</w:t>
            </w:r>
          </w:p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Cursando nível superior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Não obrigatório</w:t>
            </w:r>
          </w:p>
        </w:tc>
      </w:tr>
      <w:tr w:rsidR="001059A9" w:rsidRPr="001059A9" w:rsidTr="00D26E53">
        <w:tc>
          <w:tcPr>
            <w:tcW w:w="8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5) Diretoria de Comunicação Social</w:t>
            </w:r>
          </w:p>
        </w:tc>
        <w:tc>
          <w:tcPr>
            <w:tcW w:w="19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Rotinas específicas do Setor, incluindo atividades de redação de matérias, fotografias e filmagens e participação, quando determinado, na edição das filmagens de sessões do Legislativo, via TV Câmara e outras condizentes com a formação do estagiário.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(02) duas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Jornalismo,</w:t>
            </w:r>
          </w:p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Comunicações</w:t>
            </w:r>
          </w:p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Cursando nível superior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Não obrigatório</w:t>
            </w:r>
          </w:p>
        </w:tc>
      </w:tr>
      <w:tr w:rsidR="001059A9" w:rsidRPr="001059A9" w:rsidTr="00D26E53">
        <w:tc>
          <w:tcPr>
            <w:tcW w:w="8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6) Diretoria de Comunicação Social</w:t>
            </w:r>
          </w:p>
        </w:tc>
        <w:tc>
          <w:tcPr>
            <w:tcW w:w="19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Auxiliar na operação de câmera em eventos, ao vivo, ou gravados; em estúdio ou externas.</w:t>
            </w:r>
          </w:p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Auxiliar na gravação e edição de vídeo e áudio.</w:t>
            </w:r>
          </w:p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Auxiliar na montagem e operação de sistema de som em eventos, internos ou externos, sessões e outros.</w:t>
            </w:r>
          </w:p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 xml:space="preserve">Legendas, </w:t>
            </w:r>
            <w:proofErr w:type="spellStart"/>
            <w:r w:rsidRPr="001059A9">
              <w:rPr>
                <w:rFonts w:ascii="Calibri" w:hAnsi="Calibri" w:cs="Calibri"/>
                <w:sz w:val="24"/>
                <w:szCs w:val="24"/>
              </w:rPr>
              <w:t>metadados</w:t>
            </w:r>
            <w:proofErr w:type="spellEnd"/>
            <w:r w:rsidRPr="001059A9">
              <w:rPr>
                <w:rFonts w:ascii="Calibri" w:hAnsi="Calibri" w:cs="Calibri"/>
                <w:sz w:val="24"/>
                <w:szCs w:val="24"/>
              </w:rPr>
              <w:t xml:space="preserve"> e </w:t>
            </w:r>
            <w:r w:rsidRPr="001059A9">
              <w:rPr>
                <w:rFonts w:ascii="Calibri" w:hAnsi="Calibri" w:cs="Calibri"/>
                <w:sz w:val="24"/>
                <w:szCs w:val="24"/>
              </w:rPr>
              <w:lastRenderedPageBreak/>
              <w:t>sistema de geração de caracteres para sistema de gerenciamento de gravações e arquivos.</w:t>
            </w:r>
          </w:p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Gravação e cópias, quando solicitados.</w:t>
            </w:r>
          </w:p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 xml:space="preserve">Conversão dos formatos de vídeo e postagem no </w:t>
            </w:r>
            <w:proofErr w:type="spellStart"/>
            <w:r w:rsidRPr="001059A9">
              <w:rPr>
                <w:rFonts w:ascii="Calibri" w:hAnsi="Calibri" w:cs="Calibri"/>
                <w:sz w:val="24"/>
                <w:szCs w:val="24"/>
              </w:rPr>
              <w:t>youtube</w:t>
            </w:r>
            <w:proofErr w:type="spellEnd"/>
            <w:r w:rsidRPr="001059A9">
              <w:rPr>
                <w:rFonts w:ascii="Calibri" w:hAnsi="Calibri" w:cs="Calibri"/>
                <w:sz w:val="24"/>
                <w:szCs w:val="24"/>
              </w:rPr>
              <w:t>, site da Câmara, redes sociais e outros, montagem e operação de computador e Datashow em eventos.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lastRenderedPageBreak/>
              <w:t>(02) duas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Imagem e Som,</w:t>
            </w:r>
          </w:p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Cursando nível superior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Não obrigatório</w:t>
            </w:r>
          </w:p>
        </w:tc>
      </w:tr>
      <w:tr w:rsidR="001059A9" w:rsidRPr="001059A9" w:rsidTr="00D26E53">
        <w:tc>
          <w:tcPr>
            <w:tcW w:w="8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7) Gabinete Parlamentar – Art. 5º, § 5º, da Lei nº 9.152, de 06 de dezembro de 2017.</w:t>
            </w:r>
          </w:p>
        </w:tc>
        <w:tc>
          <w:tcPr>
            <w:tcW w:w="19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Rotinas específicas do Gabinete Parlamentar, na forma do art. 5º da Lei nº 9.152, de 06 de dezembro de 2017, e outras atividades compatíveis com a formação do estagiário.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18 (dezoito)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Cursando nível superior – Cursos e áreas a serem definidos no processo seletivo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Não obrigatório</w:t>
            </w:r>
          </w:p>
        </w:tc>
      </w:tr>
      <w:tr w:rsidR="001059A9" w:rsidRPr="001059A9" w:rsidTr="00D26E53">
        <w:trPr>
          <w:trHeight w:val="836"/>
        </w:trPr>
        <w:tc>
          <w:tcPr>
            <w:tcW w:w="280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Total de vagas disponíveis para concessão de bolsa auxílio......................................................</w:t>
            </w:r>
          </w:p>
        </w:tc>
        <w:tc>
          <w:tcPr>
            <w:tcW w:w="21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59A9" w:rsidRPr="001059A9" w:rsidRDefault="001059A9" w:rsidP="001059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059A9">
              <w:rPr>
                <w:rFonts w:ascii="Calibri" w:hAnsi="Calibri" w:cs="Calibri"/>
                <w:sz w:val="24"/>
                <w:szCs w:val="24"/>
              </w:rPr>
              <w:t>27 (vinte e sete)</w:t>
            </w:r>
          </w:p>
        </w:tc>
      </w:tr>
    </w:tbl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 xml:space="preserve">“ (NR) 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ab/>
      </w:r>
      <w:r w:rsidRPr="001059A9">
        <w:rPr>
          <w:rFonts w:ascii="Calibri" w:hAnsi="Calibri" w:cs="Calibri"/>
          <w:sz w:val="24"/>
          <w:szCs w:val="24"/>
        </w:rPr>
        <w:tab/>
        <w:t xml:space="preserve">Art. </w:t>
      </w:r>
      <w:r w:rsidR="00E76994">
        <w:rPr>
          <w:rFonts w:ascii="Calibri" w:hAnsi="Calibri" w:cs="Calibri"/>
          <w:sz w:val="24"/>
          <w:szCs w:val="24"/>
        </w:rPr>
        <w:t>9</w:t>
      </w:r>
      <w:r w:rsidRPr="001059A9">
        <w:rPr>
          <w:rFonts w:ascii="Calibri" w:hAnsi="Calibri" w:cs="Calibri"/>
          <w:sz w:val="24"/>
          <w:szCs w:val="24"/>
        </w:rPr>
        <w:t>º Esta resolução entra em vigor na data de sua publicação.</w:t>
      </w: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059A9" w:rsidRPr="001059A9" w:rsidRDefault="001059A9" w:rsidP="001059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1059A9">
        <w:rPr>
          <w:rFonts w:ascii="Calibri" w:hAnsi="Calibri" w:cs="Calibri"/>
          <w:sz w:val="24"/>
          <w:szCs w:val="24"/>
        </w:rPr>
        <w:tab/>
      </w:r>
      <w:r w:rsidRPr="001059A9">
        <w:rPr>
          <w:rFonts w:ascii="Calibri" w:hAnsi="Calibri" w:cs="Calibri"/>
          <w:sz w:val="24"/>
          <w:szCs w:val="24"/>
        </w:rPr>
        <w:tab/>
        <w:t xml:space="preserve">Art. </w:t>
      </w:r>
      <w:r w:rsidR="00E76994">
        <w:rPr>
          <w:rFonts w:ascii="Calibri" w:hAnsi="Calibri" w:cs="Calibri"/>
          <w:sz w:val="24"/>
          <w:szCs w:val="24"/>
        </w:rPr>
        <w:t>10.</w:t>
      </w:r>
      <w:r w:rsidRPr="001059A9">
        <w:rPr>
          <w:rFonts w:ascii="Calibri" w:hAnsi="Calibri" w:cs="Calibri"/>
          <w:sz w:val="24"/>
          <w:szCs w:val="24"/>
        </w:rPr>
        <w:t xml:space="preserve"> Ficam revogados os artigos 5º, 10 e 11 da Resolução nº 424, de 29 de setembro de 2015, e a Resolução nº 428, de 15 de março de 2016.</w:t>
      </w:r>
    </w:p>
    <w:p w:rsidR="003B5389" w:rsidRPr="000C27D0" w:rsidRDefault="003B5389" w:rsidP="003B538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06142" w:rsidRPr="000C27D0" w:rsidRDefault="00C06142" w:rsidP="003B538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b/>
          <w:bCs/>
          <w:sz w:val="24"/>
          <w:szCs w:val="24"/>
        </w:rPr>
        <w:tab/>
      </w:r>
      <w:r w:rsidR="003B5389">
        <w:rPr>
          <w:rFonts w:ascii="Calibri" w:hAnsi="Calibri" w:cs="Calibri"/>
          <w:b/>
          <w:bCs/>
          <w:sz w:val="24"/>
          <w:szCs w:val="24"/>
        </w:rPr>
        <w:tab/>
      </w:r>
      <w:r w:rsidRPr="000C27D0">
        <w:rPr>
          <w:rFonts w:ascii="Calibri" w:hAnsi="Calibri" w:cs="Calibri"/>
          <w:sz w:val="24"/>
          <w:szCs w:val="24"/>
        </w:rPr>
        <w:t xml:space="preserve">CÂMARA MUNICIPAL DE ARARAQUARA, aos </w:t>
      </w:r>
      <w:r w:rsidR="00B75EF4">
        <w:rPr>
          <w:rFonts w:ascii="Calibri" w:hAnsi="Calibri" w:cs="Calibri"/>
          <w:sz w:val="24"/>
          <w:szCs w:val="24"/>
        </w:rPr>
        <w:t>09</w:t>
      </w:r>
      <w:r>
        <w:rPr>
          <w:rFonts w:ascii="Calibri" w:hAnsi="Calibri" w:cs="Calibri"/>
          <w:sz w:val="24"/>
          <w:szCs w:val="24"/>
        </w:rPr>
        <w:t xml:space="preserve"> </w:t>
      </w:r>
      <w:r w:rsidRPr="000C27D0">
        <w:rPr>
          <w:rFonts w:ascii="Calibri" w:hAnsi="Calibri" w:cs="Calibri"/>
          <w:sz w:val="24"/>
          <w:szCs w:val="24"/>
        </w:rPr>
        <w:t>(</w:t>
      </w:r>
      <w:r w:rsidR="00B75EF4">
        <w:rPr>
          <w:rFonts w:ascii="Calibri" w:hAnsi="Calibri" w:cs="Calibri"/>
          <w:sz w:val="24"/>
          <w:szCs w:val="24"/>
        </w:rPr>
        <w:t>nove</w:t>
      </w:r>
      <w:r w:rsidRPr="000C27D0">
        <w:rPr>
          <w:rFonts w:ascii="Calibri" w:hAnsi="Calibri" w:cs="Calibri"/>
          <w:sz w:val="24"/>
          <w:szCs w:val="24"/>
        </w:rPr>
        <w:t xml:space="preserve">) dias do mês de </w:t>
      </w:r>
      <w:r w:rsidR="00B75EF4">
        <w:rPr>
          <w:rFonts w:ascii="Calibri" w:hAnsi="Calibri" w:cs="Calibri"/>
          <w:sz w:val="24"/>
          <w:szCs w:val="24"/>
        </w:rPr>
        <w:t>outu</w:t>
      </w:r>
      <w:r w:rsidR="001059A9">
        <w:rPr>
          <w:rFonts w:ascii="Calibri" w:hAnsi="Calibri" w:cs="Calibri"/>
          <w:sz w:val="24"/>
          <w:szCs w:val="24"/>
        </w:rPr>
        <w:t>br</w:t>
      </w:r>
      <w:r>
        <w:rPr>
          <w:rFonts w:ascii="Calibri" w:hAnsi="Calibri" w:cs="Calibri"/>
          <w:sz w:val="24"/>
          <w:szCs w:val="24"/>
        </w:rPr>
        <w:t xml:space="preserve">o </w:t>
      </w:r>
      <w:r w:rsidRPr="000C27D0">
        <w:rPr>
          <w:rFonts w:ascii="Calibri" w:hAnsi="Calibri" w:cs="Calibri"/>
          <w:sz w:val="24"/>
          <w:szCs w:val="24"/>
        </w:rPr>
        <w:t>do ano de 201</w:t>
      </w:r>
      <w:r w:rsidR="001059A9">
        <w:rPr>
          <w:rFonts w:ascii="Calibri" w:hAnsi="Calibri" w:cs="Calibri"/>
          <w:sz w:val="24"/>
          <w:szCs w:val="24"/>
        </w:rPr>
        <w:t>8</w:t>
      </w:r>
      <w:r w:rsidRPr="000C27D0">
        <w:rPr>
          <w:rFonts w:ascii="Calibri" w:hAnsi="Calibri" w:cs="Calibri"/>
          <w:sz w:val="24"/>
          <w:szCs w:val="24"/>
        </w:rPr>
        <w:t xml:space="preserve"> (dois mil e </w:t>
      </w:r>
      <w:r w:rsidR="004030D9">
        <w:rPr>
          <w:rFonts w:ascii="Calibri" w:hAnsi="Calibri" w:cs="Calibri"/>
          <w:sz w:val="24"/>
          <w:szCs w:val="24"/>
        </w:rPr>
        <w:t>dez</w:t>
      </w:r>
      <w:r w:rsidR="001059A9">
        <w:rPr>
          <w:rFonts w:ascii="Calibri" w:hAnsi="Calibri" w:cs="Calibri"/>
          <w:sz w:val="24"/>
          <w:szCs w:val="24"/>
        </w:rPr>
        <w:t>oito</w:t>
      </w:r>
      <w:r w:rsidRPr="000C27D0">
        <w:rPr>
          <w:rFonts w:ascii="Calibri" w:hAnsi="Calibri" w:cs="Calibri"/>
          <w:sz w:val="24"/>
          <w:szCs w:val="24"/>
        </w:rPr>
        <w:t>).</w:t>
      </w:r>
      <w:bookmarkStart w:id="0" w:name="_GoBack"/>
      <w:bookmarkEnd w:id="0"/>
    </w:p>
    <w:p w:rsidR="00C06142" w:rsidRPr="000C27D0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0C27D0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0C27D0" w:rsidRDefault="004030D9" w:rsidP="00393C44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C06142" w:rsidRPr="000C27D0" w:rsidRDefault="00C06142" w:rsidP="00393C44">
      <w:pPr>
        <w:jc w:val="center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sz w:val="24"/>
          <w:szCs w:val="24"/>
        </w:rPr>
        <w:t>Presidente</w:t>
      </w:r>
    </w:p>
    <w:p w:rsidR="00845D08" w:rsidRDefault="00845D08" w:rsidP="00845D08">
      <w:pPr>
        <w:jc w:val="both"/>
        <w:rPr>
          <w:rFonts w:ascii="Calibri" w:hAnsi="Calibri" w:cs="Calibri"/>
          <w:sz w:val="22"/>
          <w:szCs w:val="22"/>
        </w:rPr>
      </w:pPr>
    </w:p>
    <w:p w:rsidR="00845D08" w:rsidRPr="000C27D0" w:rsidRDefault="00845D08" w:rsidP="00845D08">
      <w:pPr>
        <w:jc w:val="both"/>
        <w:rPr>
          <w:rFonts w:ascii="Calibri" w:hAnsi="Calibri" w:cs="Calibri"/>
          <w:sz w:val="22"/>
          <w:szCs w:val="22"/>
        </w:rPr>
      </w:pPr>
      <w:r w:rsidRPr="000C27D0">
        <w:rPr>
          <w:rFonts w:ascii="Calibri" w:hAnsi="Calibri" w:cs="Calibri"/>
          <w:sz w:val="22"/>
          <w:szCs w:val="22"/>
        </w:rPr>
        <w:t>Publicado na Câmara Municipal de Araraquara, na mesma data</w:t>
      </w:r>
    </w:p>
    <w:p w:rsidR="00C06142" w:rsidRPr="009D0CF1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9D0CF1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0C27D0" w:rsidRDefault="00090633" w:rsidP="00393C44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C06142" w:rsidRPr="000C27D0" w:rsidRDefault="00090633" w:rsidP="00393C44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Secretário-</w:t>
      </w:r>
      <w:r w:rsidR="00C06142" w:rsidRPr="000C27D0">
        <w:rPr>
          <w:rFonts w:ascii="Calibri" w:hAnsi="Calibri" w:cs="Calibri"/>
          <w:sz w:val="24"/>
          <w:szCs w:val="24"/>
        </w:rPr>
        <w:t>Geral</w:t>
      </w:r>
    </w:p>
    <w:sectPr w:rsidR="00C06142" w:rsidRPr="000C27D0" w:rsidSect="000C27D0">
      <w:pgSz w:w="11907" w:h="16840" w:code="9"/>
      <w:pgMar w:top="851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829ED"/>
    <w:multiLevelType w:val="hybridMultilevel"/>
    <w:tmpl w:val="4942D3AE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6DF0"/>
    <w:rsid w:val="00030E36"/>
    <w:rsid w:val="0007746F"/>
    <w:rsid w:val="000864C1"/>
    <w:rsid w:val="000874E7"/>
    <w:rsid w:val="00090633"/>
    <w:rsid w:val="000C27D0"/>
    <w:rsid w:val="000C46FF"/>
    <w:rsid w:val="000D75D5"/>
    <w:rsid w:val="001059A9"/>
    <w:rsid w:val="00113109"/>
    <w:rsid w:val="00120CE3"/>
    <w:rsid w:val="00177957"/>
    <w:rsid w:val="00186E8A"/>
    <w:rsid w:val="001A5003"/>
    <w:rsid w:val="001D6DF0"/>
    <w:rsid w:val="002003F8"/>
    <w:rsid w:val="00202441"/>
    <w:rsid w:val="00254F8F"/>
    <w:rsid w:val="002B3B61"/>
    <w:rsid w:val="002D5B96"/>
    <w:rsid w:val="002F0801"/>
    <w:rsid w:val="002F3F4E"/>
    <w:rsid w:val="00321B5D"/>
    <w:rsid w:val="0035212C"/>
    <w:rsid w:val="00393C44"/>
    <w:rsid w:val="003B5389"/>
    <w:rsid w:val="003C0EF2"/>
    <w:rsid w:val="003D7273"/>
    <w:rsid w:val="003E236E"/>
    <w:rsid w:val="003F2DCE"/>
    <w:rsid w:val="004030D9"/>
    <w:rsid w:val="00481006"/>
    <w:rsid w:val="004A7B25"/>
    <w:rsid w:val="00503C43"/>
    <w:rsid w:val="005462DF"/>
    <w:rsid w:val="00572E2A"/>
    <w:rsid w:val="005771A2"/>
    <w:rsid w:val="0058573F"/>
    <w:rsid w:val="005E59C1"/>
    <w:rsid w:val="006405C5"/>
    <w:rsid w:val="006511A5"/>
    <w:rsid w:val="00652DB3"/>
    <w:rsid w:val="0069310C"/>
    <w:rsid w:val="006C6070"/>
    <w:rsid w:val="006C70A3"/>
    <w:rsid w:val="006D5CAD"/>
    <w:rsid w:val="00764E18"/>
    <w:rsid w:val="007B71A6"/>
    <w:rsid w:val="007D1251"/>
    <w:rsid w:val="00804DC2"/>
    <w:rsid w:val="00807BD6"/>
    <w:rsid w:val="00814EC1"/>
    <w:rsid w:val="00827E3D"/>
    <w:rsid w:val="00830349"/>
    <w:rsid w:val="0083470E"/>
    <w:rsid w:val="008357FF"/>
    <w:rsid w:val="00845D08"/>
    <w:rsid w:val="0085447E"/>
    <w:rsid w:val="00886DA5"/>
    <w:rsid w:val="008963EF"/>
    <w:rsid w:val="008A4DD8"/>
    <w:rsid w:val="008C1F46"/>
    <w:rsid w:val="00997596"/>
    <w:rsid w:val="009B5943"/>
    <w:rsid w:val="009D0CF1"/>
    <w:rsid w:val="009D3739"/>
    <w:rsid w:val="009E1277"/>
    <w:rsid w:val="009F6443"/>
    <w:rsid w:val="00A10041"/>
    <w:rsid w:val="00A46F1C"/>
    <w:rsid w:val="00A55780"/>
    <w:rsid w:val="00A83EC7"/>
    <w:rsid w:val="00AB1722"/>
    <w:rsid w:val="00AF57BF"/>
    <w:rsid w:val="00AF5E0F"/>
    <w:rsid w:val="00B45BE9"/>
    <w:rsid w:val="00B45F7E"/>
    <w:rsid w:val="00B46F24"/>
    <w:rsid w:val="00B71A08"/>
    <w:rsid w:val="00B75EF4"/>
    <w:rsid w:val="00B87A22"/>
    <w:rsid w:val="00BF6266"/>
    <w:rsid w:val="00C06142"/>
    <w:rsid w:val="00C207D2"/>
    <w:rsid w:val="00C67339"/>
    <w:rsid w:val="00C849E3"/>
    <w:rsid w:val="00CA15BD"/>
    <w:rsid w:val="00D52C41"/>
    <w:rsid w:val="00DC3E10"/>
    <w:rsid w:val="00DE2CC1"/>
    <w:rsid w:val="00E27D98"/>
    <w:rsid w:val="00E34131"/>
    <w:rsid w:val="00E76994"/>
    <w:rsid w:val="00EF4BC6"/>
    <w:rsid w:val="00F009C5"/>
    <w:rsid w:val="00F40AD0"/>
    <w:rsid w:val="00F57C4E"/>
    <w:rsid w:val="00FB31F2"/>
    <w:rsid w:val="00FF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67D7D6EE-A6DD-4A48-AC74-A831323FD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E18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764E18"/>
    <w:pPr>
      <w:keepNext/>
      <w:ind w:left="3762" w:right="-376"/>
      <w:jc w:val="both"/>
      <w:outlineLvl w:val="0"/>
    </w:pPr>
    <w:rPr>
      <w:rFonts w:ascii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rsid w:val="00764E18"/>
    <w:pPr>
      <w:keepNext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764E18"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764E18"/>
    <w:rPr>
      <w:rFonts w:ascii="Cambria" w:hAnsi="Cambria" w:cs="Cambria"/>
      <w:b/>
      <w:bCs/>
      <w:i/>
      <w:iCs/>
      <w:sz w:val="28"/>
      <w:szCs w:val="28"/>
    </w:rPr>
  </w:style>
  <w:style w:type="table" w:styleId="Tabelacomgrade">
    <w:name w:val="Table Grid"/>
    <w:basedOn w:val="Tabelanormal"/>
    <w:uiPriority w:val="99"/>
    <w:rsid w:val="001A5003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99"/>
    <w:qFormat/>
    <w:rsid w:val="00120CE3"/>
    <w:pPr>
      <w:autoSpaceDE/>
      <w:autoSpaceDN/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727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7273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semiHidden/>
    <w:unhideWhenUsed/>
    <w:rsid w:val="000D75D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D75D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1866</Words>
  <Characters>10081</Characters>
  <Application>Microsoft Office Word</Application>
  <DocSecurity>0</DocSecurity>
  <Lines>84</Lines>
  <Paragraphs>23</Paragraphs>
  <ScaleCrop>false</ScaleCrop>
  <Company>Camara Municipal Araraquara</Company>
  <LinksUpToDate>false</LinksUpToDate>
  <CharactersWithSpaces>11924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38</cp:revision>
  <cp:lastPrinted>2015-09-30T00:32:00Z</cp:lastPrinted>
  <dcterms:created xsi:type="dcterms:W3CDTF">2015-04-01T13:38:00Z</dcterms:created>
  <dcterms:modified xsi:type="dcterms:W3CDTF">2018-10-09T21:34:00Z</dcterms:modified>
</cp:coreProperties>
</file>