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5546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5546B">
        <w:rPr>
          <w:rFonts w:ascii="Tahoma" w:hAnsi="Tahoma" w:cs="Tahoma"/>
          <w:b/>
          <w:sz w:val="32"/>
          <w:szCs w:val="32"/>
          <w:u w:val="single"/>
        </w:rPr>
        <w:t>248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5546B">
        <w:rPr>
          <w:rFonts w:ascii="Tahoma" w:hAnsi="Tahoma" w:cs="Tahoma"/>
          <w:b/>
          <w:sz w:val="32"/>
          <w:szCs w:val="32"/>
          <w:u w:val="single"/>
        </w:rPr>
        <w:t>258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5546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5546B">
        <w:rPr>
          <w:rFonts w:ascii="Calibri" w:hAnsi="Calibri" w:cs="Calibri"/>
          <w:sz w:val="22"/>
          <w:szCs w:val="22"/>
        </w:rPr>
        <w:t xml:space="preserve">Altera a Lei nº 9.347, de 15 de agosto </w:t>
      </w:r>
      <w:r>
        <w:rPr>
          <w:rFonts w:ascii="Calibri" w:hAnsi="Calibri" w:cs="Calibri"/>
          <w:sz w:val="22"/>
          <w:szCs w:val="22"/>
        </w:rPr>
        <w:t>de 2018</w:t>
      </w:r>
      <w:r w:rsidRPr="0085546B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5546B" w:rsidRDefault="0085546B" w:rsidP="008554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5546B">
        <w:rPr>
          <w:rFonts w:ascii="Calibri" w:hAnsi="Calibri" w:cs="Calibri"/>
          <w:sz w:val="24"/>
          <w:szCs w:val="22"/>
        </w:rPr>
        <w:t xml:space="preserve">Art. 1º O art. 1º da Lei nº 9.347, de 15 de agosto de 2018, passa a vigorar </w:t>
      </w:r>
      <w:r>
        <w:rPr>
          <w:rFonts w:ascii="Calibri" w:hAnsi="Calibri" w:cs="Calibri"/>
          <w:sz w:val="24"/>
          <w:szCs w:val="22"/>
        </w:rPr>
        <w:t>com a seguinte redação</w:t>
      </w:r>
      <w:r w:rsidRPr="0085546B">
        <w:rPr>
          <w:rFonts w:ascii="Calibri" w:hAnsi="Calibri" w:cs="Calibri"/>
          <w:sz w:val="24"/>
          <w:szCs w:val="22"/>
        </w:rPr>
        <w:t>:</w:t>
      </w:r>
    </w:p>
    <w:p w:rsidR="0085546B" w:rsidRPr="0085546B" w:rsidRDefault="0085546B" w:rsidP="008554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5546B" w:rsidRDefault="0085546B" w:rsidP="0085546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5546B">
        <w:rPr>
          <w:rFonts w:ascii="Calibri" w:hAnsi="Calibri" w:cs="Calibri"/>
          <w:sz w:val="24"/>
          <w:szCs w:val="22"/>
        </w:rPr>
        <w:t xml:space="preserve">“Art. 1º Fica denominada Quadra de Futebol </w:t>
      </w:r>
      <w:proofErr w:type="spellStart"/>
      <w:r w:rsidRPr="0085546B">
        <w:rPr>
          <w:rFonts w:ascii="Calibri" w:hAnsi="Calibri" w:cs="Calibri"/>
          <w:sz w:val="24"/>
          <w:szCs w:val="22"/>
        </w:rPr>
        <w:t>Society</w:t>
      </w:r>
      <w:proofErr w:type="spellEnd"/>
      <w:r w:rsidRPr="0085546B">
        <w:rPr>
          <w:rFonts w:ascii="Calibri" w:hAnsi="Calibri" w:cs="Calibri"/>
          <w:sz w:val="24"/>
          <w:szCs w:val="22"/>
        </w:rPr>
        <w:t xml:space="preserve"> José Antonio Laurindo a quadra esportiva localizada na Área 12 (matrícula nº 141.911), na Avenida Lázaro Machado, entre a Rua Henrique Baptista </w:t>
      </w:r>
      <w:proofErr w:type="spellStart"/>
      <w:r w:rsidRPr="0085546B">
        <w:rPr>
          <w:rFonts w:ascii="Calibri" w:hAnsi="Calibri" w:cs="Calibri"/>
          <w:sz w:val="24"/>
          <w:szCs w:val="22"/>
        </w:rPr>
        <w:t>Crisci</w:t>
      </w:r>
      <w:proofErr w:type="spellEnd"/>
      <w:r w:rsidRPr="0085546B">
        <w:rPr>
          <w:rFonts w:ascii="Calibri" w:hAnsi="Calibri" w:cs="Calibri"/>
          <w:sz w:val="24"/>
          <w:szCs w:val="22"/>
        </w:rPr>
        <w:t xml:space="preserve"> e a Rua José Luiz Pio, dos loteamentos denominados Parque Residencial Valle Verde e Parque Residencial Jardim do Valle, neste Município.”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85546B" w:rsidRPr="0085546B" w:rsidRDefault="0085546B" w:rsidP="0085546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85546B" w:rsidP="008554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5546B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85546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85546B" w:rsidRPr="00646520" w:rsidRDefault="0085546B" w:rsidP="0085546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7010A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7010A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5546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5546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46B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137</cp:revision>
  <cp:lastPrinted>2018-06-26T22:41:00Z</cp:lastPrinted>
  <dcterms:created xsi:type="dcterms:W3CDTF">2016-08-16T19:55:00Z</dcterms:created>
  <dcterms:modified xsi:type="dcterms:W3CDTF">2018-10-02T15:09:00Z</dcterms:modified>
</cp:coreProperties>
</file>